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566B2E"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774F7355" w:rsidR="00880E1E" w:rsidRPr="0083124D" w:rsidRDefault="00E727F1" w:rsidP="00557286">
            <w:pPr>
              <w:pStyle w:val="Maintext"/>
              <w:tabs>
                <w:tab w:val="left" w:pos="-1271"/>
              </w:tabs>
              <w:spacing w:before="120" w:after="120"/>
              <w:rPr>
                <w:sz w:val="24"/>
              </w:rPr>
            </w:pPr>
            <w:r>
              <w:rPr>
                <w:color w:val="auto"/>
                <w:sz w:val="22"/>
              </w:rPr>
              <w:t>Field of study 2466 H 02 – repair technician – machinery and equipment</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566B2E"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42D68502" w:rsidR="003218A7" w:rsidRPr="0083124D" w:rsidRDefault="00E727F1" w:rsidP="00EA57A7">
            <w:pPr>
              <w:pStyle w:val="Maintext"/>
              <w:tabs>
                <w:tab w:val="left" w:pos="-1129"/>
                <w:tab w:val="left" w:pos="1717"/>
              </w:tabs>
              <w:spacing w:before="120" w:after="120"/>
              <w:ind w:left="426"/>
              <w:rPr>
                <w:noProof/>
                <w:sz w:val="24"/>
              </w:rPr>
            </w:pPr>
            <w:r w:rsidRPr="00B56538">
              <w:rPr>
                <w:color w:val="auto"/>
                <w:sz w:val="22"/>
                <w:szCs w:val="16"/>
                <w:lang w:val="sk-SK"/>
              </w:rPr>
              <w:t>Učebný odbor 2466 H 02 mechanik opravár-stroje a zariadenia</w:t>
            </w:r>
            <w:r>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566B2E"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95BFE1E" w14:textId="77777777" w:rsidR="00E727F1" w:rsidRPr="00B56538" w:rsidRDefault="004F3AD5" w:rsidP="00E727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E727F1">
              <w:rPr>
                <w:color w:val="auto"/>
                <w:sz w:val="19"/>
              </w:rPr>
              <w:t>to act independently in social and professional life,</w:t>
            </w:r>
          </w:p>
          <w:p w14:paraId="69309705" w14:textId="77777777" w:rsidR="00E727F1" w:rsidRPr="00B56538" w:rsidRDefault="00E727F1" w:rsidP="00E727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081E77A8" w14:textId="77777777" w:rsidR="00E727F1" w:rsidRPr="00B56538" w:rsidRDefault="00E727F1" w:rsidP="00E727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13E11D88" w14:textId="77777777" w:rsidR="00E727F1" w:rsidRPr="00B56538" w:rsidRDefault="00E727F1" w:rsidP="00E727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3E36B868" w14:textId="77777777" w:rsidR="00E727F1" w:rsidRPr="00B56538" w:rsidRDefault="00E727F1" w:rsidP="00E727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544D4AFE" w14:textId="77777777" w:rsidR="00E727F1" w:rsidRPr="00B56538" w:rsidRDefault="00E727F1" w:rsidP="00E727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442CA9D" w14:textId="77777777" w:rsidR="00E727F1" w:rsidRPr="00B56538" w:rsidRDefault="00E727F1" w:rsidP="00E727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0163C8CC" w14:textId="77777777" w:rsidR="00E727F1" w:rsidRPr="00B56538" w:rsidRDefault="00E727F1" w:rsidP="00E727F1">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manually work and process metal and non-metal materials,</w:t>
            </w:r>
          </w:p>
          <w:p w14:paraId="6C1AF2D4" w14:textId="77777777" w:rsidR="00E727F1" w:rsidRPr="00B56538" w:rsidRDefault="00E727F1" w:rsidP="00E727F1">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machine and shape metal and non-metal materials on machinery,</w:t>
            </w:r>
          </w:p>
          <w:p w14:paraId="60E29C1C" w14:textId="77777777" w:rsidR="00E727F1" w:rsidRPr="00B56538" w:rsidRDefault="00E727F1" w:rsidP="00E727F1">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handle loads, parts of machinery and equipment during their assembly and disassembly using lifting devices,</w:t>
            </w:r>
          </w:p>
          <w:p w14:paraId="708BD588" w14:textId="77777777" w:rsidR="00E727F1" w:rsidRPr="00B56538" w:rsidRDefault="00E727F1" w:rsidP="00E727F1">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follow approved procedures, to comply with technical rules, technical and technological standards, including hygiene-related and safety and preventive measures,</w:t>
            </w:r>
          </w:p>
          <w:p w14:paraId="3F8BA9CF" w14:textId="77777777" w:rsidR="00E727F1" w:rsidRPr="00B56538" w:rsidRDefault="00E727F1" w:rsidP="00E727F1">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select and prepare the necessary tools, devices, machines and equipment, and materials necessary for a specific technological process and to use them efficiently,</w:t>
            </w:r>
          </w:p>
          <w:p w14:paraId="6BFE3726" w14:textId="77777777" w:rsidR="00E727F1" w:rsidRPr="00B56538" w:rsidRDefault="00E727F1" w:rsidP="00E727F1">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supervise, set up, adjust, and conduct standard maintenance on machinery and equipment,</w:t>
            </w:r>
          </w:p>
          <w:p w14:paraId="12969B8D" w14:textId="77777777" w:rsidR="00E727F1" w:rsidRPr="00B56538" w:rsidRDefault="00E727F1" w:rsidP="00E727F1">
            <w:pPr>
              <w:pStyle w:val="subtitleblue"/>
              <w:numPr>
                <w:ilvl w:val="0"/>
                <w:numId w:val="6"/>
              </w:numPr>
              <w:tabs>
                <w:tab w:val="left" w:pos="-1413"/>
              </w:tabs>
              <w:spacing w:before="60"/>
              <w:ind w:left="709" w:hanging="141"/>
              <w:jc w:val="both"/>
              <w:rPr>
                <w:bCs/>
                <w:color w:val="auto"/>
                <w:sz w:val="19"/>
                <w:szCs w:val="19"/>
              </w:rPr>
            </w:pPr>
            <w:r>
              <w:rPr>
                <w:color w:val="auto"/>
                <w:sz w:val="19"/>
              </w:rPr>
              <w:t xml:space="preserve"> to identify operational failures, to determine the cause of such failures, to assess the effectiveness of product repair, to determine and implement optimal repair method,</w:t>
            </w:r>
          </w:p>
          <w:p w14:paraId="36DA35AF" w14:textId="77777777" w:rsidR="00E727F1" w:rsidRPr="00B56538" w:rsidRDefault="00E727F1" w:rsidP="00E727F1">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disassemble and assemble machinery and equipment, to replace defective or worn parts,</w:t>
            </w:r>
          </w:p>
          <w:p w14:paraId="6C4A3CA9" w14:textId="77777777" w:rsidR="00E727F1" w:rsidRPr="00B56538" w:rsidRDefault="00E727F1" w:rsidP="00E727F1">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reset machinery and equipment to default operating parameters after repair and replacement of parts,</w:t>
            </w:r>
          </w:p>
          <w:p w14:paraId="7706012C" w14:textId="77777777" w:rsidR="00E727F1" w:rsidRPr="00B56538" w:rsidRDefault="00E727F1" w:rsidP="00E727F1">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check the dimensions and quality of completed work using suitable gauges and measurement devices,</w:t>
            </w:r>
          </w:p>
          <w:p w14:paraId="3C67F6D6" w14:textId="77777777" w:rsidR="00E727F1" w:rsidRPr="00B56538" w:rsidRDefault="00E727F1" w:rsidP="00E727F1">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apply applicable legislation when working with welding equipment,</w:t>
            </w:r>
          </w:p>
          <w:p w14:paraId="7B754156" w14:textId="77777777" w:rsidR="00E727F1" w:rsidRPr="00B56538" w:rsidRDefault="00E727F1" w:rsidP="00E727F1">
            <w:pPr>
              <w:pStyle w:val="subtitleblue"/>
              <w:numPr>
                <w:ilvl w:val="0"/>
                <w:numId w:val="6"/>
              </w:numPr>
              <w:tabs>
                <w:tab w:val="left" w:pos="-1413"/>
              </w:tabs>
              <w:spacing w:before="60"/>
              <w:ind w:left="851" w:hanging="283"/>
              <w:jc w:val="both"/>
              <w:rPr>
                <w:bCs/>
                <w:color w:val="auto"/>
                <w:sz w:val="19"/>
                <w:szCs w:val="19"/>
              </w:rPr>
            </w:pPr>
            <w:r>
              <w:rPr>
                <w:color w:val="auto"/>
                <w:sz w:val="19"/>
              </w:rPr>
              <w:t xml:space="preserve"> to weld to the extent determined,</w:t>
            </w:r>
          </w:p>
          <w:p w14:paraId="7EAF55F7" w14:textId="5C587906" w:rsidR="002C0A40" w:rsidRPr="004F3AD5" w:rsidRDefault="00E727F1" w:rsidP="00E727F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occupational cleanliness and hygiene at the workplace.</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566B2E"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4B560710" w:rsidR="00D01237" w:rsidRPr="00D01237" w:rsidRDefault="00E727F1" w:rsidP="00557286">
            <w:pPr>
              <w:pStyle w:val="Maintext"/>
              <w:tabs>
                <w:tab w:val="left" w:pos="-988"/>
              </w:tabs>
              <w:spacing w:before="60" w:after="60"/>
              <w:ind w:right="87"/>
              <w:jc w:val="both"/>
              <w:rPr>
                <w:color w:val="auto"/>
                <w:sz w:val="19"/>
                <w:szCs w:val="19"/>
              </w:rPr>
            </w:pPr>
            <w:r>
              <w:rPr>
                <w:color w:val="auto"/>
                <w:sz w:val="19"/>
              </w:rPr>
              <w:t>Graduates find work in the machinery and equipment maintenance in operations and companies specialising in the production, assembly, repair, and operation of machinery and equipment.</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566B2E"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036722536"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566B2E"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036722536"/>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EDF5D85" w14:textId="77777777" w:rsidR="00E727F1" w:rsidRPr="002655BF" w:rsidRDefault="00E727F1" w:rsidP="00E727F1">
            <w:pPr>
              <w:pStyle w:val="Maintext"/>
              <w:tabs>
                <w:tab w:val="left" w:pos="-988"/>
              </w:tabs>
              <w:spacing w:before="60" w:after="60"/>
              <w:ind w:left="284" w:right="87"/>
              <w:rPr>
                <w:color w:val="auto"/>
                <w:sz w:val="19"/>
                <w:szCs w:val="19"/>
              </w:rPr>
            </w:pPr>
            <w:r>
              <w:rPr>
                <w:color w:val="auto"/>
                <w:sz w:val="19"/>
              </w:rPr>
              <w:t xml:space="preserve">Secondary vocational education </w:t>
            </w:r>
          </w:p>
          <w:p w14:paraId="7A137CFF" w14:textId="77777777" w:rsidR="00E727F1" w:rsidRPr="002655BF" w:rsidRDefault="00E727F1" w:rsidP="00E727F1">
            <w:pPr>
              <w:pStyle w:val="Maintext"/>
              <w:tabs>
                <w:tab w:val="left" w:pos="-988"/>
              </w:tabs>
              <w:spacing w:before="60" w:after="60"/>
              <w:ind w:left="284" w:right="87"/>
              <w:rPr>
                <w:color w:val="auto"/>
                <w:sz w:val="19"/>
                <w:szCs w:val="19"/>
              </w:rPr>
            </w:pPr>
            <w:r>
              <w:rPr>
                <w:color w:val="auto"/>
                <w:sz w:val="19"/>
              </w:rPr>
              <w:t>SKQF/EQF 3</w:t>
            </w:r>
          </w:p>
          <w:p w14:paraId="54136FFB" w14:textId="58AF3FFE" w:rsidR="00936EEA" w:rsidRPr="0083124D" w:rsidRDefault="00E727F1" w:rsidP="00E727F1">
            <w:pPr>
              <w:pStyle w:val="Maintext"/>
              <w:tabs>
                <w:tab w:val="left" w:pos="-988"/>
              </w:tabs>
              <w:spacing w:before="60" w:after="60"/>
              <w:ind w:left="284" w:right="87"/>
              <w:rPr>
                <w:color w:val="auto"/>
                <w:sz w:val="19"/>
                <w:szCs w:val="19"/>
              </w:rPr>
            </w:pPr>
            <w:r>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40852783" w14:textId="77777777" w:rsidR="00E727F1" w:rsidRPr="002655BF" w:rsidRDefault="00E727F1" w:rsidP="00E727F1">
            <w:pPr>
              <w:pStyle w:val="Maintext"/>
              <w:tabs>
                <w:tab w:val="left" w:pos="-988"/>
              </w:tabs>
              <w:ind w:left="284" w:right="85"/>
              <w:rPr>
                <w:color w:val="auto"/>
                <w:sz w:val="19"/>
                <w:szCs w:val="19"/>
              </w:rPr>
            </w:pPr>
            <w:r>
              <w:rPr>
                <w:color w:val="auto"/>
                <w:sz w:val="19"/>
              </w:rPr>
              <w:t>Advanced study educational programmes for graduates of the 3-year field of study</w:t>
            </w:r>
          </w:p>
          <w:p w14:paraId="75FFC8D3" w14:textId="4F49A887" w:rsidR="00646EBE" w:rsidRPr="0083124D" w:rsidRDefault="00E727F1" w:rsidP="00E727F1">
            <w:pPr>
              <w:pStyle w:val="Maintext"/>
              <w:tabs>
                <w:tab w:val="left" w:pos="-988"/>
              </w:tabs>
              <w:ind w:left="284" w:right="85"/>
              <w:rPr>
                <w:color w:val="FF0000"/>
                <w:sz w:val="19"/>
                <w:szCs w:val="19"/>
              </w:rPr>
            </w:pPr>
            <w:r>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3EC9423"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E727F1">
              <w:rPr>
                <w:sz w:val="19"/>
              </w:rPr>
              <w:t>three</w:t>
            </w:r>
            <w:r w:rsidR="003253C7">
              <w:rPr>
                <w:sz w:val="19"/>
              </w:rPr>
              <w:t>-year</w:t>
            </w:r>
            <w:r>
              <w:rPr>
                <w:sz w:val="19"/>
              </w:rPr>
              <w:t xml:space="preserve"> training program in the given field of study by </w:t>
            </w:r>
            <w:r w:rsidR="00566B2E">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566B2E"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753D9428" w14:textId="7144510C" w:rsidR="00E727F1" w:rsidRPr="002655BF" w:rsidRDefault="00E727F1" w:rsidP="00E727F1">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Completion of 9th year of primary school</w:t>
            </w:r>
          </w:p>
          <w:p w14:paraId="5669BF23" w14:textId="26A2E8F1" w:rsidR="00E727F1" w:rsidRPr="002655BF" w:rsidRDefault="00E727F1" w:rsidP="00E727F1">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Demonstration of required knowledge prerequisites via admission procedure</w:t>
            </w:r>
          </w:p>
          <w:p w14:paraId="7E564807" w14:textId="1A8B836C" w:rsidR="00FA4EE1" w:rsidRPr="0083124D" w:rsidRDefault="00FA4EE1" w:rsidP="00E727F1">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566B2E"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9AA9D7B" w:rsidR="00AE63B0" w:rsidRPr="0083124D" w:rsidRDefault="003961B9" w:rsidP="00557286">
            <w:pPr>
              <w:pStyle w:val="subtitleblue"/>
              <w:tabs>
                <w:tab w:val="clear" w:pos="340"/>
                <w:tab w:val="clear" w:pos="454"/>
                <w:tab w:val="right" w:pos="-1271"/>
              </w:tabs>
              <w:spacing w:before="120"/>
              <w:rPr>
                <w:sz w:val="20"/>
              </w:rPr>
            </w:pPr>
            <w:r>
              <w:rPr>
                <w:noProof/>
              </w:rPr>
              <w:pict w14:anchorId="4C668D8D">
                <v:shape id="_x0000_s1034" type="#_x0000_t75" style="position:absolute;margin-left:289.85pt;margin-top:15.4pt;width:102.6pt;height:98.4pt;z-index:9;mso-position-horizontal-relative:text;mso-position-vertical-relative:text;mso-width-relative:page;mso-height-relative:page">
                  <v:imagedata r:id="rId11" o:title="podpis_riaditela"/>
                </v:shape>
              </w:pict>
            </w:r>
            <w:r>
              <w:rPr>
                <w:noProof/>
              </w:rPr>
              <w:pict w14:anchorId="4F6D6CE6">
                <v:shape id="_x0000_s1033" type="#_x0000_t75" style="position:absolute;margin-left:170.45pt;margin-top:9.8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21A3B472" w:rsidR="00EA57A7" w:rsidRPr="0083124D" w:rsidRDefault="00566B2E"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3798BD80" w:rsidR="00AC6C74" w:rsidRPr="0083124D" w:rsidRDefault="00566B2E"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E8DE" w14:textId="77777777" w:rsidR="00566B2E" w:rsidRDefault="00566B2E" w:rsidP="009565F2">
      <w:r>
        <w:separator/>
      </w:r>
    </w:p>
  </w:endnote>
  <w:endnote w:type="continuationSeparator" w:id="0">
    <w:p w14:paraId="45278B90" w14:textId="77777777" w:rsidR="00566B2E" w:rsidRDefault="00566B2E"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3961B9">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9719" w14:textId="77777777" w:rsidR="00566B2E" w:rsidRPr="007A4572" w:rsidRDefault="00566B2E" w:rsidP="009565F2">
      <w:pPr>
        <w:rPr>
          <w:color w:val="FFFFFF"/>
        </w:rPr>
      </w:pPr>
    </w:p>
  </w:footnote>
  <w:footnote w:type="continuationSeparator" w:id="0">
    <w:p w14:paraId="103E9912" w14:textId="77777777" w:rsidR="00566B2E" w:rsidRDefault="00566B2E"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566B2E"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566B2E"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bma3VGubzO+duT87tgn4tRlVAR/TiCmDhTDxUpX9CDmRTzpNXGXH3pG9cuiPiNEahf3ZvVUkvjKG6oFy+aKhlw==" w:salt="mhLobJ8VaI6v5Nd/0O9gI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014A"/>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1B9"/>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66B2E"/>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727F1"/>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5718-39FC-4112-8C79-4FE5F664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746</Words>
  <Characters>4256</Characters>
  <Application>Microsoft Office Word</Application>
  <DocSecurity>8</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4993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2021-01-18T14:15:00Z</cp:lastPrinted>
  <dcterms:created xsi:type="dcterms:W3CDTF">2020-12-07T13:43:00Z</dcterms:created>
  <dcterms:modified xsi:type="dcterms:W3CDTF">2021-01-18T14:15:00Z</dcterms:modified>
</cp:coreProperties>
</file>