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5073BF"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656EDD0C" w:rsidR="00880E1E" w:rsidRPr="0083124D" w:rsidRDefault="00C73CA1" w:rsidP="00557286">
            <w:pPr>
              <w:pStyle w:val="Maintext"/>
              <w:tabs>
                <w:tab w:val="left" w:pos="-1271"/>
              </w:tabs>
              <w:spacing w:before="120" w:after="120"/>
              <w:rPr>
                <w:sz w:val="24"/>
              </w:rPr>
            </w:pPr>
            <w:r w:rsidRPr="00C73CA1">
              <w:rPr>
                <w:color w:val="auto"/>
                <w:sz w:val="22"/>
              </w:rPr>
              <w:t>Field of study 2414 L 01 engineering – manufacture, assembly and repair of devices</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5073BF"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7D619C22" w:rsidR="003218A7" w:rsidRPr="0083124D" w:rsidRDefault="00C73CA1" w:rsidP="00EA57A7">
            <w:pPr>
              <w:pStyle w:val="Maintext"/>
              <w:tabs>
                <w:tab w:val="left" w:pos="-1129"/>
                <w:tab w:val="left" w:pos="1717"/>
              </w:tabs>
              <w:spacing w:before="120" w:after="120"/>
              <w:ind w:left="426"/>
              <w:rPr>
                <w:noProof/>
                <w:sz w:val="24"/>
              </w:rPr>
            </w:pPr>
            <w:r w:rsidRPr="00C73CA1">
              <w:rPr>
                <w:color w:val="auto"/>
                <w:sz w:val="22"/>
              </w:rPr>
              <w:t>Študijný odbor 2414 L 01 strojárstvo-výroba, montáž a oprava prístrojov</w:t>
            </w:r>
            <w:r w:rsidR="00136CA3" w:rsidRPr="00136CA3">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5073BF"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2842B8E2" w14:textId="77777777" w:rsidR="00C73CA1" w:rsidRPr="00B26F3E" w:rsidRDefault="004F3AD5"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C73CA1">
              <w:rPr>
                <w:color w:val="auto"/>
                <w:sz w:val="19"/>
              </w:rPr>
              <w:t>to communicate correctly in the official language, both verbally and in writing,</w:t>
            </w:r>
          </w:p>
          <w:p w14:paraId="22BB8048" w14:textId="6E55B435" w:rsidR="00C73CA1" w:rsidRPr="00B26F3E" w:rsidRDefault="00C73CA1" w:rsidP="00C73CA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0E351D41" w14:textId="03F7E543"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26B00AF3" w14:textId="77777777"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4AA0D8EE" w14:textId="77777777"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and chemistry when resolving practical tasks,</w:t>
            </w:r>
          </w:p>
          <w:p w14:paraId="17AEF556" w14:textId="23B1DDD6"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2E0693AC" w14:textId="77777777"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4D5C0680" w14:textId="77777777" w:rsidR="00C73CA1" w:rsidRPr="00B26F3E" w:rsidRDefault="00C73CA1" w:rsidP="00C73CA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5E722E3F" w14:textId="77777777" w:rsidR="00C73CA1" w:rsidRPr="00B26F3E" w:rsidRDefault="00C73CA1" w:rsidP="00C73CA1">
            <w:pPr>
              <w:pStyle w:val="subtitleblue"/>
              <w:numPr>
                <w:ilvl w:val="0"/>
                <w:numId w:val="6"/>
              </w:numPr>
              <w:tabs>
                <w:tab w:val="left" w:pos="-1413"/>
              </w:tabs>
              <w:spacing w:before="60"/>
              <w:ind w:left="709" w:hanging="141"/>
              <w:rPr>
                <w:color w:val="auto"/>
                <w:sz w:val="19"/>
                <w:szCs w:val="19"/>
              </w:rPr>
            </w:pPr>
            <w:r>
              <w:rPr>
                <w:color w:val="auto"/>
                <w:sz w:val="19"/>
              </w:rPr>
              <w:t xml:space="preserve"> to read technical drawings, diagrams, work instructions, catalogues and technical documentation, standards, and professional literature,</w:t>
            </w:r>
          </w:p>
          <w:p w14:paraId="5D65073E"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create images of machine parts and assemblies using CAD/CAM systems,</w:t>
            </w:r>
          </w:p>
          <w:p w14:paraId="07D3C5FF"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be familiar with the operation of machinery used in engineering, </w:t>
            </w:r>
          </w:p>
          <w:p w14:paraId="625F6D66" w14:textId="77777777" w:rsidR="00C73CA1" w:rsidRPr="00B26F3E" w:rsidRDefault="00C73CA1" w:rsidP="00C73CA1">
            <w:pPr>
              <w:pStyle w:val="subtitleblue"/>
              <w:numPr>
                <w:ilvl w:val="0"/>
                <w:numId w:val="6"/>
              </w:numPr>
              <w:tabs>
                <w:tab w:val="left" w:pos="-1413"/>
              </w:tabs>
              <w:spacing w:before="60"/>
              <w:ind w:left="709" w:hanging="141"/>
              <w:rPr>
                <w:color w:val="auto"/>
                <w:sz w:val="19"/>
                <w:szCs w:val="19"/>
              </w:rPr>
            </w:pPr>
            <w:r>
              <w:rPr>
                <w:color w:val="auto"/>
                <w:sz w:val="19"/>
              </w:rPr>
              <w:t xml:space="preserve"> to solve technical calculations using professional technical literature and standards for the design of machine parts,</w:t>
            </w:r>
          </w:p>
          <w:p w14:paraId="01F4D0E1"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basic technological procedures for manual processing of materials,</w:t>
            </w:r>
          </w:p>
          <w:p w14:paraId="27FDEDA7"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procedures for assembling and disassembling machinery, equipment, and their units,</w:t>
            </w:r>
          </w:p>
          <w:p w14:paraId="5392F610"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describe the procedures for using equipment, tools, and agents,</w:t>
            </w:r>
          </w:p>
          <w:p w14:paraId="47F69EDA" w14:textId="77777777" w:rsidR="00C73CA1" w:rsidRPr="00B26F3E" w:rsidRDefault="00C73CA1" w:rsidP="00C73CA1">
            <w:pPr>
              <w:pStyle w:val="subtitleblue"/>
              <w:numPr>
                <w:ilvl w:val="0"/>
                <w:numId w:val="6"/>
              </w:numPr>
              <w:tabs>
                <w:tab w:val="left" w:pos="-1413"/>
              </w:tabs>
              <w:spacing w:before="60"/>
              <w:ind w:left="709" w:hanging="141"/>
              <w:rPr>
                <w:color w:val="auto"/>
                <w:sz w:val="19"/>
                <w:szCs w:val="19"/>
              </w:rPr>
            </w:pPr>
            <w:r>
              <w:rPr>
                <w:color w:val="auto"/>
                <w:sz w:val="19"/>
              </w:rPr>
              <w:t xml:space="preserve"> to explain the operation of transmissions used in mechanisms and machines as well as the basic calculations of their parameters,</w:t>
            </w:r>
          </w:p>
          <w:p w14:paraId="5B38DF45"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describe the principles of regulating and control engineering and automatic management systems,</w:t>
            </w:r>
          </w:p>
          <w:p w14:paraId="2FDA3E3F"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describe procedures for measuring electrical and non-electrical parameters, </w:t>
            </w:r>
          </w:p>
          <w:p w14:paraId="6292CB1B"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possibilities of introducing mechanisation and automation,</w:t>
            </w:r>
          </w:p>
          <w:p w14:paraId="3486AAF1"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create records of operation, maintenance and repair of machinery and equipment,</w:t>
            </w:r>
          </w:p>
          <w:p w14:paraId="2D58BB1D"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carry out basic tasks in manual and machine working of metal,</w:t>
            </w:r>
          </w:p>
          <w:p w14:paraId="400F2007"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use engineering standards, technical literature, and fitting system and apply them at work,</w:t>
            </w:r>
          </w:p>
          <w:p w14:paraId="1F4C73E1"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use appropriate tools, instruments, agents, and work aids,</w:t>
            </w:r>
          </w:p>
          <w:p w14:paraId="53062F37" w14:textId="77777777" w:rsidR="00C73CA1" w:rsidRPr="00B26F3E" w:rsidRDefault="00C73CA1" w:rsidP="00C73CA1">
            <w:pPr>
              <w:pStyle w:val="subtitleblue"/>
              <w:numPr>
                <w:ilvl w:val="0"/>
                <w:numId w:val="6"/>
              </w:numPr>
              <w:tabs>
                <w:tab w:val="left" w:pos="-1413"/>
              </w:tabs>
              <w:spacing w:before="60"/>
              <w:ind w:left="851" w:hanging="283"/>
              <w:rPr>
                <w:color w:val="auto"/>
                <w:sz w:val="19"/>
                <w:szCs w:val="19"/>
              </w:rPr>
            </w:pPr>
            <w:r>
              <w:rPr>
                <w:color w:val="auto"/>
                <w:sz w:val="19"/>
              </w:rPr>
              <w:t xml:space="preserve"> to choose optimal working conditions, to comply with technical rules,</w:t>
            </w:r>
          </w:p>
          <w:p w14:paraId="7EAF55F7" w14:textId="1DD4B386" w:rsidR="002C0A40" w:rsidRPr="00C73CA1" w:rsidRDefault="00C73CA1" w:rsidP="00C73CA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implement procedures for processing and treatment of materials using appropriate tools, aids, and agents.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5073BF"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45845FCF" w:rsidR="00D01237" w:rsidRPr="00D01237" w:rsidRDefault="00C73CA1" w:rsidP="00557286">
            <w:pPr>
              <w:pStyle w:val="Maintext"/>
              <w:tabs>
                <w:tab w:val="left" w:pos="-988"/>
              </w:tabs>
              <w:spacing w:before="60" w:after="60"/>
              <w:ind w:right="87"/>
              <w:jc w:val="both"/>
              <w:rPr>
                <w:color w:val="auto"/>
                <w:sz w:val="19"/>
                <w:szCs w:val="19"/>
              </w:rPr>
            </w:pPr>
            <w:r w:rsidRPr="00C73CA1">
              <w:rPr>
                <w:color w:val="auto"/>
                <w:sz w:val="19"/>
              </w:rPr>
              <w:t>Graduates are qualified workers able to independently carry out activities in repairing, assembling, adjusting, reviving, testing, and checking a wide range of instruments, machines and equipment, as well as to perform work of technical, structural, technological, assembly and operational nature; they may also be employed in other positions at specialised departments or as specialists carrying out complex skilled work in accordance with their occupational background. Examples of possible job positions: operator, dispatcher, technician, foreman, quality controller in the field of machine engineering.</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5073BF"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permStart w:id="1906528847"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5073BF"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permEnd w:id="1906528847"/>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E60ED62" w14:textId="77777777" w:rsidR="00C73CA1" w:rsidRPr="00C73CA1" w:rsidRDefault="00C73CA1" w:rsidP="00C73CA1">
            <w:pPr>
              <w:pStyle w:val="Maintext"/>
              <w:tabs>
                <w:tab w:val="left" w:pos="-988"/>
              </w:tabs>
              <w:spacing w:before="60" w:after="60"/>
              <w:ind w:left="284" w:right="87"/>
              <w:rPr>
                <w:color w:val="auto"/>
                <w:sz w:val="19"/>
              </w:rPr>
            </w:pPr>
            <w:r w:rsidRPr="00C73CA1">
              <w:rPr>
                <w:color w:val="auto"/>
                <w:sz w:val="19"/>
              </w:rPr>
              <w:t xml:space="preserve">Full secondary vocational education </w:t>
            </w:r>
          </w:p>
          <w:p w14:paraId="577F9F5E" w14:textId="77777777" w:rsidR="00C73CA1" w:rsidRPr="00C73CA1" w:rsidRDefault="00C73CA1" w:rsidP="00C73CA1">
            <w:pPr>
              <w:pStyle w:val="Maintext"/>
              <w:tabs>
                <w:tab w:val="left" w:pos="-988"/>
              </w:tabs>
              <w:spacing w:before="60" w:after="60"/>
              <w:ind w:left="284" w:right="87"/>
              <w:rPr>
                <w:color w:val="auto"/>
                <w:sz w:val="19"/>
              </w:rPr>
            </w:pPr>
            <w:r w:rsidRPr="00C73CA1">
              <w:rPr>
                <w:color w:val="auto"/>
                <w:sz w:val="19"/>
              </w:rPr>
              <w:t>SKQF/EQF 4</w:t>
            </w:r>
          </w:p>
          <w:p w14:paraId="54136FFB" w14:textId="5611C006" w:rsidR="00936EEA" w:rsidRPr="0083124D" w:rsidRDefault="00C73CA1" w:rsidP="00C73CA1">
            <w:pPr>
              <w:pStyle w:val="Maintext"/>
              <w:tabs>
                <w:tab w:val="left" w:pos="-988"/>
              </w:tabs>
              <w:spacing w:before="60" w:after="60"/>
              <w:ind w:left="284" w:right="87"/>
              <w:rPr>
                <w:color w:val="auto"/>
                <w:sz w:val="19"/>
                <w:szCs w:val="19"/>
              </w:rPr>
            </w:pPr>
            <w:r w:rsidRPr="00C73CA1">
              <w:rPr>
                <w:color w:val="auto"/>
                <w:sz w:val="19"/>
              </w:rPr>
              <w:t>ISCED 454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75FFC8D3" w14:textId="3E2A8CB4" w:rsidR="00646EBE" w:rsidRPr="0083124D" w:rsidRDefault="00136CA3" w:rsidP="00136CA3">
            <w:pPr>
              <w:pStyle w:val="Maintext"/>
              <w:tabs>
                <w:tab w:val="left" w:pos="-988"/>
              </w:tabs>
              <w:ind w:left="284" w:right="85"/>
              <w:rPr>
                <w:color w:val="FF0000"/>
                <w:sz w:val="19"/>
                <w:szCs w:val="19"/>
              </w:rPr>
            </w:pPr>
            <w:r w:rsidRPr="00136CA3">
              <w:rPr>
                <w:color w:val="auto"/>
                <w:sz w:val="19"/>
              </w:rPr>
              <w:t>University, 1st degree, ISCED 655, 645, 665</w:t>
            </w:r>
            <w:bookmarkStart w:id="0" w:name="_GoBack"/>
            <w:bookmarkEnd w:id="0"/>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5073BF">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5073BF"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22CF2853" w14:textId="4BFD4D48" w:rsidR="00C73CA1" w:rsidRPr="00C73CA1" w:rsidRDefault="00C73CA1" w:rsidP="00C73CA1">
            <w:pPr>
              <w:pStyle w:val="TableParagraph"/>
              <w:numPr>
                <w:ilvl w:val="0"/>
                <w:numId w:val="4"/>
              </w:numPr>
              <w:tabs>
                <w:tab w:val="left" w:pos="457"/>
                <w:tab w:val="left" w:pos="458"/>
              </w:tabs>
              <w:rPr>
                <w:rFonts w:ascii="Arial" w:hAnsi="Arial"/>
                <w:sz w:val="19"/>
              </w:rPr>
            </w:pPr>
            <w:r>
              <w:rPr>
                <w:rFonts w:ascii="Arial" w:hAnsi="Arial"/>
                <w:sz w:val="19"/>
              </w:rPr>
              <w:t xml:space="preserve"> </w:t>
            </w:r>
            <w:r w:rsidRPr="00C73CA1">
              <w:rPr>
                <w:rFonts w:ascii="Arial" w:hAnsi="Arial"/>
                <w:sz w:val="19"/>
              </w:rPr>
              <w:t>secondary vocational education in the given field of study, ISCED 353</w:t>
            </w:r>
          </w:p>
          <w:p w14:paraId="0DF95862" w14:textId="77777777" w:rsidR="00FA4EE1" w:rsidRPr="00C73CA1" w:rsidRDefault="00C73CA1" w:rsidP="00C73CA1">
            <w:pPr>
              <w:pStyle w:val="TableParagraph"/>
              <w:numPr>
                <w:ilvl w:val="0"/>
                <w:numId w:val="4"/>
              </w:numPr>
              <w:tabs>
                <w:tab w:val="left" w:pos="457"/>
                <w:tab w:val="left" w:pos="458"/>
              </w:tabs>
              <w:rPr>
                <w:rFonts w:ascii="Arial" w:hAnsi="Arial" w:cs="Arial"/>
                <w:color w:val="FF0000"/>
                <w:sz w:val="18"/>
                <w:szCs w:val="18"/>
              </w:rPr>
            </w:pPr>
            <w:r>
              <w:rPr>
                <w:rFonts w:ascii="Arial" w:hAnsi="Arial"/>
                <w:sz w:val="19"/>
              </w:rPr>
              <w:t xml:space="preserve"> </w:t>
            </w:r>
            <w:r w:rsidRPr="00C73CA1">
              <w:rPr>
                <w:rFonts w:ascii="Arial" w:hAnsi="Arial"/>
                <w:sz w:val="19"/>
              </w:rPr>
              <w:t>fulfilment of prerequisites in the admission procedure</w:t>
            </w:r>
          </w:p>
          <w:p w14:paraId="7E564807" w14:textId="125CD238" w:rsidR="00C73CA1" w:rsidRPr="0083124D" w:rsidRDefault="00C73CA1" w:rsidP="00C73CA1">
            <w:pPr>
              <w:pStyle w:val="TableParagraph"/>
              <w:tabs>
                <w:tab w:val="left" w:pos="457"/>
                <w:tab w:val="left" w:pos="458"/>
              </w:tabs>
              <w:ind w:left="817"/>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5073BF"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2D719D9"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3253C7">
              <w:rPr>
                <w:sz w:val="20"/>
              </w:rPr>
              <w:t>C</w:t>
            </w:r>
            <w:r>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3B735353" w:rsidR="002C7C08" w:rsidRPr="0083124D" w:rsidRDefault="004441A9" w:rsidP="00557286">
            <w:pPr>
              <w:pStyle w:val="Maintext"/>
              <w:tabs>
                <w:tab w:val="clear" w:pos="454"/>
                <w:tab w:val="left" w:pos="-988"/>
              </w:tabs>
              <w:spacing w:before="60" w:after="60" w:line="240" w:lineRule="auto"/>
              <w:ind w:left="185" w:right="85"/>
              <w:jc w:val="both"/>
              <w:rPr>
                <w:noProof/>
                <w:color w:val="auto"/>
              </w:rPr>
            </w:pPr>
            <w:r>
              <w:rPr>
                <w:noProof/>
              </w:rPr>
              <w:pict w14:anchorId="230D3A8A">
                <v:shape id="_x0000_s1034" type="#_x0000_t75" style="position:absolute;left:0;text-align:left;margin-left:324.05pt;margin-top:3pt;width:102.6pt;height:98.4pt;z-index:9;mso-position-horizontal-relative:text;mso-position-vertical-relative:text;mso-width-relative:page;mso-height-relative:page">
                  <v:imagedata r:id="rId11" o:title="podpis_riaditela"/>
                </v:shape>
              </w:pict>
            </w:r>
            <w:r>
              <w:rPr>
                <w:noProof/>
              </w:rPr>
              <w:pict w14:anchorId="1D817004">
                <v:shape id="_x0000_s1033" type="#_x0000_t75" style="position:absolute;left:0;text-align:left;margin-left:184.85pt;margin-top:4.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77777777" w:rsidR="00EA57A7" w:rsidRPr="0083124D" w:rsidRDefault="005073BF"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404F40BC" w:rsidR="00AC6C74" w:rsidRPr="0083124D" w:rsidRDefault="005073BF"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549DB" w14:textId="77777777" w:rsidR="005073BF" w:rsidRDefault="005073BF" w:rsidP="009565F2">
      <w:r>
        <w:separator/>
      </w:r>
    </w:p>
  </w:endnote>
  <w:endnote w:type="continuationSeparator" w:id="0">
    <w:p w14:paraId="36FCE803" w14:textId="77777777" w:rsidR="005073BF" w:rsidRDefault="005073BF"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134D5CEA"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4441A9">
      <w:rPr>
        <w:noProof/>
        <w:sz w:val="16"/>
      </w:rPr>
      <w:t>2</w:t>
    </w:r>
    <w:r w:rsidR="007F4792" w:rsidRPr="005834E7">
      <w:rPr>
        <w:sz w:val="16"/>
      </w:rPr>
      <w:fldChar w:fldCharType="end"/>
    </w:r>
    <w:r>
      <w:rPr>
        <w:sz w:val="16"/>
      </w:rPr>
      <w:t>/</w:t>
    </w:r>
    <w:r w:rsidR="00C73CA1">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E6B31FD"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C73CA1">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EF70" w14:textId="77777777" w:rsidR="005073BF" w:rsidRPr="007A4572" w:rsidRDefault="005073BF" w:rsidP="009565F2">
      <w:pPr>
        <w:rPr>
          <w:color w:val="FFFFFF"/>
        </w:rPr>
      </w:pPr>
    </w:p>
  </w:footnote>
  <w:footnote w:type="continuationSeparator" w:id="0">
    <w:p w14:paraId="7FA606FC" w14:textId="77777777" w:rsidR="005073BF" w:rsidRDefault="005073BF"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5073BF"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5073BF"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iRIbZi34jH6V+urAa3BXInp+j3ZWcKXy9i+iVf5Eeh0Zv1POQ9MUAeqGNtZj7penT8ZzZ0XUCR6ZNBEHuKQPHQ==" w:salt="BVy0oOOp5PMYSCc5GTcFB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1A9"/>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073BF"/>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3CA1"/>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0F5B"/>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6E00-A33E-48EB-8C61-0669E299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872</Words>
  <Characters>4972</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5833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2021-01-18T14:11:00Z</cp:lastPrinted>
  <dcterms:created xsi:type="dcterms:W3CDTF">2020-12-07T13:43:00Z</dcterms:created>
  <dcterms:modified xsi:type="dcterms:W3CDTF">2021-01-18T14:11:00Z</dcterms:modified>
</cp:coreProperties>
</file>