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0B5814"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12B70339" w:rsidR="00880E1E" w:rsidRPr="0083124D" w:rsidRDefault="00746A0A" w:rsidP="00557286">
            <w:pPr>
              <w:pStyle w:val="Maintext"/>
              <w:tabs>
                <w:tab w:val="left" w:pos="-1271"/>
              </w:tabs>
              <w:spacing w:before="120" w:after="120"/>
              <w:rPr>
                <w:sz w:val="24"/>
              </w:rPr>
            </w:pPr>
            <w:r w:rsidRPr="00746A0A">
              <w:rPr>
                <w:color w:val="auto"/>
                <w:sz w:val="22"/>
              </w:rPr>
              <w:t>Field of study 3765 M transport technology and operation</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0B5814"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11D883D9" w:rsidR="003218A7" w:rsidRPr="0083124D" w:rsidRDefault="00746A0A" w:rsidP="00EA57A7">
            <w:pPr>
              <w:pStyle w:val="Maintext"/>
              <w:tabs>
                <w:tab w:val="left" w:pos="-1129"/>
                <w:tab w:val="left" w:pos="1717"/>
              </w:tabs>
              <w:spacing w:before="120" w:after="120"/>
              <w:ind w:left="426"/>
              <w:rPr>
                <w:noProof/>
                <w:sz w:val="24"/>
              </w:rPr>
            </w:pPr>
            <w:r w:rsidRPr="00746A0A">
              <w:rPr>
                <w:color w:val="auto"/>
                <w:sz w:val="22"/>
              </w:rPr>
              <w:t xml:space="preserve">Študijný odbor 3765 M technika a prevádzka dopravy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0B5814"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4864C06C" w14:textId="77777777" w:rsidR="00746A0A" w:rsidRPr="00784888" w:rsidRDefault="004F3AD5" w:rsidP="00746A0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746A0A">
              <w:rPr>
                <w:color w:val="auto"/>
                <w:sz w:val="19"/>
              </w:rPr>
              <w:t>to communicate correctly in the official language, both verbally and in writing,</w:t>
            </w:r>
          </w:p>
          <w:p w14:paraId="5C36CCD2" w14:textId="5FC55ADF" w:rsidR="00746A0A" w:rsidRPr="00784888" w:rsidRDefault="00746A0A" w:rsidP="00746A0A">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the B1 level per the Common European Reference Framework,</w:t>
            </w:r>
          </w:p>
          <w:p w14:paraId="3D5C691C" w14:textId="4911CD02" w:rsidR="00746A0A" w:rsidRPr="00784888" w:rsidRDefault="00746A0A" w:rsidP="00746A0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adapt to changing living and working conditions, to work in a team and to take responsibility for tasks,</w:t>
            </w:r>
          </w:p>
          <w:p w14:paraId="1D392254" w14:textId="77777777" w:rsidR="00746A0A" w:rsidRPr="00784888" w:rsidRDefault="00746A0A" w:rsidP="00746A0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33E6AB1C" w14:textId="77777777" w:rsidR="00746A0A" w:rsidRPr="00784888" w:rsidRDefault="00746A0A" w:rsidP="00746A0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mathematical relations and the laws of physics when resolving practical tasks,</w:t>
            </w:r>
          </w:p>
          <w:p w14:paraId="333F2CA9" w14:textId="77A67CE1" w:rsidR="00746A0A" w:rsidRPr="00784888" w:rsidRDefault="00746A0A" w:rsidP="00746A0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19A120EB" w14:textId="77777777" w:rsidR="00746A0A" w:rsidRPr="00784888" w:rsidRDefault="00746A0A" w:rsidP="00746A0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5578A2D3" w14:textId="77777777" w:rsidR="00746A0A" w:rsidRPr="00784888" w:rsidRDefault="00746A0A" w:rsidP="00746A0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100B4F1F" w14:textId="77777777" w:rsidR="00746A0A" w:rsidRPr="00784888" w:rsidRDefault="00746A0A" w:rsidP="00746A0A">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apply professional technical terminology and to understand technical documentation and literature,</w:t>
            </w:r>
          </w:p>
          <w:p w14:paraId="1CE72344" w14:textId="77777777" w:rsidR="00746A0A" w:rsidRPr="00784888" w:rsidRDefault="00746A0A" w:rsidP="00746A0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describe the system of transport organisation and management, to identify basic transport-related standards and regulations,</w:t>
            </w:r>
          </w:p>
          <w:p w14:paraId="6A40BAB9" w14:textId="77777777" w:rsidR="00746A0A" w:rsidRPr="00784888" w:rsidRDefault="00746A0A" w:rsidP="00746A0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apply basic economic terms, relations, and laws as well as rationalisation principles of technological processes in order to enhance fuel and energy efficiency,</w:t>
            </w:r>
          </w:p>
          <w:p w14:paraId="50482EF0" w14:textId="77777777" w:rsidR="00746A0A" w:rsidRPr="00784888" w:rsidRDefault="00746A0A" w:rsidP="00746A0A">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draw up and maintain operating documents, to implement technological practices,</w:t>
            </w:r>
          </w:p>
          <w:p w14:paraId="7C3D7DF5" w14:textId="77777777" w:rsidR="00746A0A" w:rsidRPr="00784888" w:rsidRDefault="00746A0A" w:rsidP="00746A0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define the basics of the division of structural parts and individual structural components, relevant technical equipment, including the conditions of their safe operation and basics of maintenance, </w:t>
            </w:r>
          </w:p>
          <w:p w14:paraId="5E1618DD" w14:textId="77777777" w:rsidR="00746A0A" w:rsidRPr="00784888" w:rsidRDefault="00746A0A" w:rsidP="00746A0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define the conditions of operation of relevant means of transport and to be familiar with the safety, fire protection, and other relevant labour market regulations,</w:t>
            </w:r>
          </w:p>
          <w:p w14:paraId="10C4AFAE" w14:textId="77777777" w:rsidR="00746A0A" w:rsidRPr="00784888" w:rsidRDefault="00746A0A" w:rsidP="00746A0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define appropriate methods of transport of passengers, luggage, and cargo in domestic and international transport,</w:t>
            </w:r>
          </w:p>
          <w:p w14:paraId="64944E12" w14:textId="77777777" w:rsidR="00746A0A" w:rsidRPr="00784888" w:rsidRDefault="00746A0A" w:rsidP="00746A0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explain the theory of vehicle maintenance, the purpose, classification and use of diagnostic devices and testing centres, including the repair technology of individual components and structural parts of vehicles, to draw up a report on the technical condition of the vehicle, as well as on the method and procedure for eliminating any identified faults and defects,</w:t>
            </w:r>
          </w:p>
          <w:p w14:paraId="2883FAA8" w14:textId="77777777" w:rsidR="00746A0A" w:rsidRPr="00784888" w:rsidRDefault="00746A0A" w:rsidP="00746A0A">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describe the types and possibilities of using machinery depending on the type of transported goods,</w:t>
            </w:r>
          </w:p>
          <w:p w14:paraId="6A33CB02" w14:textId="77777777" w:rsidR="00746A0A" w:rsidRPr="00784888" w:rsidRDefault="00746A0A" w:rsidP="00746A0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ensure appropriate selection and integration of simple machinery into the technological process employed in repair, warehouse management, and vehicle loading and unloading,</w:t>
            </w:r>
          </w:p>
          <w:p w14:paraId="6420BEE0" w14:textId="77777777" w:rsidR="002C0A40" w:rsidRPr="00746A0A" w:rsidRDefault="00746A0A" w:rsidP="00746A0A">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diagnose road transport vehicles and arrange and organise work in vehicle repair and maintenance workshops.</w:t>
            </w:r>
          </w:p>
          <w:p w14:paraId="7EAF55F7" w14:textId="313BF487" w:rsidR="00746A0A" w:rsidRPr="00746A0A" w:rsidRDefault="00746A0A" w:rsidP="00746A0A">
            <w:pPr>
              <w:pStyle w:val="subtitleblue"/>
              <w:tabs>
                <w:tab w:val="clear" w:pos="454"/>
                <w:tab w:val="left" w:pos="-1413"/>
              </w:tabs>
              <w:spacing w:before="60"/>
              <w:ind w:left="709"/>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0B5814"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225E2D1E" w:rsidR="00D01237" w:rsidRPr="00D01237" w:rsidRDefault="00746A0A" w:rsidP="00557286">
            <w:pPr>
              <w:pStyle w:val="Maintext"/>
              <w:tabs>
                <w:tab w:val="left" w:pos="-988"/>
              </w:tabs>
              <w:spacing w:before="60" w:after="60"/>
              <w:ind w:right="87"/>
              <w:jc w:val="both"/>
              <w:rPr>
                <w:color w:val="auto"/>
                <w:sz w:val="19"/>
                <w:szCs w:val="19"/>
              </w:rPr>
            </w:pPr>
            <w:r w:rsidRPr="00746A0A">
              <w:rPr>
                <w:color w:val="auto"/>
                <w:sz w:val="19"/>
              </w:rPr>
              <w:t>Graduates are qualified workers able to independently carry out technical work in operating, constructing, diagnosing, manufacturing, installing, and maintaining transport vehicles while being familiar with the specificities of transport systems. They also find work as technicians employed in motor vehicle operation, maintenance, and diagnostics, in vehicle repair workshops, in designing, in design offices, or as controllers.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0B5814"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671848378"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7844D64A" w14:textId="77777777" w:rsidR="00027CA3" w:rsidRDefault="000B5814" w:rsidP="0021657C">
            <w:pPr>
              <w:pStyle w:val="Maintext"/>
              <w:tabs>
                <w:tab w:val="left" w:pos="-988"/>
              </w:tabs>
              <w:ind w:left="278" w:right="87"/>
              <w:rPr>
                <w:sz w:val="19"/>
              </w:rPr>
            </w:pPr>
            <w:hyperlink r:id="rId9" w:history="1">
              <w:r w:rsidR="00FB7F15">
                <w:rPr>
                  <w:rStyle w:val="Hypertextovprepojenie"/>
                  <w:sz w:val="19"/>
                </w:rPr>
                <w:t>www.minedu.sk</w:t>
              </w:r>
            </w:hyperlink>
            <w:r w:rsidR="00FB7F15">
              <w:rPr>
                <w:sz w:val="19"/>
              </w:rPr>
              <w:t xml:space="preserve"> </w:t>
            </w:r>
          </w:p>
          <w:p w14:paraId="4EEB165D" w14:textId="05390A17" w:rsidR="00746A0A" w:rsidRPr="0083124D" w:rsidRDefault="00746A0A" w:rsidP="0021657C">
            <w:pPr>
              <w:pStyle w:val="Maintext"/>
              <w:tabs>
                <w:tab w:val="left" w:pos="-988"/>
              </w:tabs>
              <w:ind w:left="278" w:right="87"/>
              <w:rPr>
                <w:sz w:val="19"/>
                <w:szCs w:val="19"/>
              </w:rPr>
            </w:pPr>
          </w:p>
        </w:tc>
      </w:tr>
      <w:bookmarkEnd w:id="0"/>
      <w:permEnd w:id="1671848378"/>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F5E8915" w14:textId="77777777" w:rsidR="00027CA3" w:rsidRDefault="007A6D81" w:rsidP="00EA57A7">
            <w:pPr>
              <w:pStyle w:val="Maintext"/>
              <w:tabs>
                <w:tab w:val="left" w:pos="-988"/>
              </w:tabs>
              <w:spacing w:line="120" w:lineRule="atLeast"/>
              <w:ind w:left="136" w:right="85"/>
              <w:rPr>
                <w:color w:val="auto"/>
                <w:sz w:val="19"/>
              </w:rPr>
            </w:pPr>
            <w:r>
              <w:rPr>
                <w:color w:val="auto"/>
                <w:sz w:val="19"/>
              </w:rPr>
              <w:t xml:space="preserve">   5 – insufficient</w:t>
            </w:r>
          </w:p>
          <w:p w14:paraId="64569844" w14:textId="03DDCF18" w:rsidR="00746A0A" w:rsidRPr="0083124D" w:rsidRDefault="00746A0A" w:rsidP="00EA57A7">
            <w:pPr>
              <w:pStyle w:val="Maintext"/>
              <w:tabs>
                <w:tab w:val="left" w:pos="-988"/>
              </w:tabs>
              <w:spacing w:line="120" w:lineRule="atLeast"/>
              <w:ind w:left="136" w:right="85"/>
            </w:pP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57C3C1D1" w14:textId="77777777" w:rsidR="00746A0A" w:rsidRPr="00746A0A" w:rsidRDefault="00746A0A" w:rsidP="00746A0A">
            <w:pPr>
              <w:pStyle w:val="Maintext"/>
              <w:tabs>
                <w:tab w:val="left" w:pos="-988"/>
              </w:tabs>
              <w:ind w:left="284" w:right="85"/>
              <w:rPr>
                <w:color w:val="auto"/>
                <w:sz w:val="19"/>
              </w:rPr>
            </w:pPr>
            <w:r w:rsidRPr="00746A0A">
              <w:rPr>
                <w:color w:val="auto"/>
                <w:sz w:val="19"/>
              </w:rPr>
              <w:t>Higher vocational education SKQF/EQF 5, ISCED 554</w:t>
            </w:r>
          </w:p>
          <w:p w14:paraId="75FFC8D3" w14:textId="0BEF5342" w:rsidR="00646EBE" w:rsidRPr="0083124D" w:rsidRDefault="00746A0A" w:rsidP="00746A0A">
            <w:pPr>
              <w:pStyle w:val="Maintext"/>
              <w:tabs>
                <w:tab w:val="left" w:pos="-988"/>
              </w:tabs>
              <w:ind w:left="284" w:right="85"/>
              <w:rPr>
                <w:color w:val="FF0000"/>
                <w:sz w:val="19"/>
                <w:szCs w:val="19"/>
              </w:rPr>
            </w:pPr>
            <w:r w:rsidRPr="00746A0A">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0B5814">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0B5814"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478AEED9" w14:textId="77777777" w:rsidR="00FA4EE1" w:rsidRPr="00746A0A"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p w14:paraId="7E564807" w14:textId="18BDE1C5" w:rsidR="00746A0A" w:rsidRPr="0083124D" w:rsidRDefault="00746A0A" w:rsidP="00746A0A">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A2B4B75" w14:textId="77777777" w:rsidR="00AC6C74" w:rsidRDefault="000B5814"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14:paraId="401A7159" w14:textId="62BD4340" w:rsidR="00746A0A" w:rsidRPr="0083124D" w:rsidRDefault="00746A0A" w:rsidP="00557286">
            <w:pPr>
              <w:pStyle w:val="Normlnywebov"/>
              <w:spacing w:before="60" w:after="60"/>
              <w:ind w:left="176"/>
              <w:rPr>
                <w:rFonts w:ascii="Arial" w:hAnsi="Arial" w:cs="Arial"/>
                <w:sz w:val="19"/>
                <w:szCs w:val="19"/>
              </w:rPr>
            </w:pPr>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2A0D77D6" w:rsidR="00AE63B0" w:rsidRPr="0083124D" w:rsidRDefault="009E46B9" w:rsidP="00557286">
            <w:pPr>
              <w:pStyle w:val="subtitleblue"/>
              <w:tabs>
                <w:tab w:val="clear" w:pos="340"/>
                <w:tab w:val="clear" w:pos="454"/>
                <w:tab w:val="right" w:pos="-1271"/>
              </w:tabs>
              <w:spacing w:before="120"/>
              <w:rPr>
                <w:sz w:val="20"/>
              </w:rPr>
            </w:pPr>
            <w:r>
              <w:rPr>
                <w:noProof/>
              </w:rPr>
              <w:lastRenderedPageBreak/>
              <w:pict w14:anchorId="3761C45A">
                <v:shape id="_x0000_s1034" type="#_x0000_t75" style="position:absolute;margin-left:292.25pt;margin-top:14.95pt;width:102.6pt;height:98.4pt;z-index:9;mso-position-horizontal-relative:text;mso-position-vertical-relative:text;mso-width-relative:page;mso-height-relative:page">
                  <v:imagedata r:id="rId11" o:title="podpis_riaditela"/>
                </v:shape>
              </w:pict>
            </w:r>
            <w:r>
              <w:rPr>
                <w:noProof/>
              </w:rPr>
              <w:pict w14:anchorId="5B16A67E">
                <v:shape id="_x0000_s1033" type="#_x0000_t75" style="position:absolute;margin-left:165.05pt;margin-top:16.7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5C83FB15" w:rsidR="00EA57A7" w:rsidRPr="0083124D" w:rsidRDefault="000B5814"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07538477" w:rsidR="00AC6C74" w:rsidRPr="0083124D" w:rsidRDefault="000B5814"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F13F7" w14:textId="77777777" w:rsidR="000B5814" w:rsidRDefault="000B5814" w:rsidP="009565F2">
      <w:r>
        <w:separator/>
      </w:r>
    </w:p>
  </w:endnote>
  <w:endnote w:type="continuationSeparator" w:id="0">
    <w:p w14:paraId="45C240F3" w14:textId="77777777" w:rsidR="000B5814" w:rsidRDefault="000B5814"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003CF07F"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9E46B9">
      <w:rPr>
        <w:noProof/>
        <w:sz w:val="16"/>
      </w:rPr>
      <w:t>2</w:t>
    </w:r>
    <w:r w:rsidR="007F4792" w:rsidRPr="005834E7">
      <w:rPr>
        <w:sz w:val="16"/>
      </w:rPr>
      <w:fldChar w:fldCharType="end"/>
    </w:r>
    <w:r>
      <w:rPr>
        <w:sz w:val="16"/>
      </w:rPr>
      <w:t>/</w:t>
    </w:r>
    <w:r w:rsidR="00746A0A">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68059CC0"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746A0A">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7DD28" w14:textId="77777777" w:rsidR="000B5814" w:rsidRPr="007A4572" w:rsidRDefault="000B5814" w:rsidP="009565F2">
      <w:pPr>
        <w:rPr>
          <w:color w:val="FFFFFF"/>
        </w:rPr>
      </w:pPr>
    </w:p>
  </w:footnote>
  <w:footnote w:type="continuationSeparator" w:id="0">
    <w:p w14:paraId="39ED0F53" w14:textId="77777777" w:rsidR="000B5814" w:rsidRDefault="000B5814"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6"/>
      <w:gridCol w:w="7212"/>
      <w:gridCol w:w="1544"/>
    </w:tblGrid>
    <w:tr w:rsidR="00B45DCF" w:rsidRPr="00557286" w14:paraId="091A1379" w14:textId="77777777" w:rsidTr="00557286">
      <w:tc>
        <w:tcPr>
          <w:tcW w:w="1526" w:type="dxa"/>
          <w:shd w:val="clear" w:color="auto" w:fill="auto"/>
        </w:tcPr>
        <w:p w14:paraId="759586B5" w14:textId="77777777" w:rsidR="00B45DCF" w:rsidRPr="00557286" w:rsidRDefault="000B5814"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0B5814"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1WUKnapkv0ca+bAQ1idx8DisT706iWC70/aWpryUUrt+HZztc1OW3J+nJrXzRpb3hD5uit3bVTAZd+CXIIP0jg==" w:salt="IJy/qXu9psSPKTIbyx9uc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5814"/>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011"/>
    <w:rsid w:val="00743782"/>
    <w:rsid w:val="00743FFC"/>
    <w:rsid w:val="00746A0A"/>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6B9"/>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459C-5304-4D09-A547-2943F17C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862</Words>
  <Characters>4916</Characters>
  <Application>Microsoft Office Word</Application>
  <DocSecurity>8</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5767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2021-01-18T13:24:00Z</cp:lastPrinted>
  <dcterms:created xsi:type="dcterms:W3CDTF">2020-12-07T13:43:00Z</dcterms:created>
  <dcterms:modified xsi:type="dcterms:W3CDTF">2021-01-18T13:24:00Z</dcterms:modified>
</cp:coreProperties>
</file>