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590C6B"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09C3A93C" w:rsidR="00880E1E" w:rsidRPr="0083124D" w:rsidRDefault="007E7E97" w:rsidP="00557286">
            <w:pPr>
              <w:pStyle w:val="Maintext"/>
              <w:tabs>
                <w:tab w:val="left" w:pos="-1271"/>
              </w:tabs>
              <w:spacing w:before="120" w:after="120"/>
              <w:rPr>
                <w:sz w:val="24"/>
              </w:rPr>
            </w:pPr>
            <w:r>
              <w:rPr>
                <w:color w:val="auto"/>
                <w:sz w:val="22"/>
              </w:rPr>
              <w:t>Field of study 3763 H postal service and traffic operator</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590C6B"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249A0794" w:rsidR="003218A7" w:rsidRPr="0083124D" w:rsidRDefault="007E7E97" w:rsidP="00EA57A7">
            <w:pPr>
              <w:pStyle w:val="Maintext"/>
              <w:tabs>
                <w:tab w:val="left" w:pos="-1129"/>
                <w:tab w:val="left" w:pos="1717"/>
              </w:tabs>
              <w:spacing w:before="120" w:after="120"/>
              <w:ind w:left="426"/>
              <w:rPr>
                <w:noProof/>
                <w:sz w:val="24"/>
              </w:rPr>
            </w:pPr>
            <w:r w:rsidRPr="007E7E97">
              <w:rPr>
                <w:color w:val="auto"/>
                <w:sz w:val="22"/>
              </w:rPr>
              <w:t xml:space="preserve">Učebný odbor 3763 H manipulant poštovej prevádzky a prepravy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590C6B"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196ED075" w14:textId="77777777" w:rsidR="007E7E97" w:rsidRPr="003C3E24" w:rsidRDefault="004F3AD5" w:rsidP="007E7E9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7E7E97">
              <w:rPr>
                <w:color w:val="auto"/>
                <w:sz w:val="19"/>
              </w:rPr>
              <w:t>to act independently in social and professional life,</w:t>
            </w:r>
          </w:p>
          <w:p w14:paraId="4B3FDC8A" w14:textId="77777777" w:rsidR="007E7E97" w:rsidRPr="003C3E24" w:rsidRDefault="007E7E97" w:rsidP="007E7E9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in the official language and one foreign language in written and spoken form,</w:t>
            </w:r>
          </w:p>
          <w:p w14:paraId="6BFC7CC6" w14:textId="77777777" w:rsidR="007E7E97" w:rsidRPr="003C3E24" w:rsidRDefault="007E7E97" w:rsidP="007E7E9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basic principles of financial literacy, consumer protection and to understand business and work,</w:t>
            </w:r>
          </w:p>
          <w:p w14:paraId="504BA9F8" w14:textId="77777777" w:rsidR="007E7E97" w:rsidRPr="003C3E24" w:rsidRDefault="007E7E97" w:rsidP="007E7E9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information and communication technologies to solve practical tasks,</w:t>
            </w:r>
          </w:p>
          <w:p w14:paraId="01C47A9F" w14:textId="77777777" w:rsidR="007E7E97" w:rsidRPr="003C3E24" w:rsidRDefault="007E7E97" w:rsidP="007E7E9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 diverse groups, to cooperate in a team, to organise their work,</w:t>
            </w:r>
          </w:p>
          <w:p w14:paraId="69A0CBF9" w14:textId="77777777" w:rsidR="007E7E97" w:rsidRPr="003C3E24" w:rsidRDefault="007E7E97" w:rsidP="007E7E9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58BE01B9" w14:textId="77777777" w:rsidR="007E7E97" w:rsidRPr="003C3E24" w:rsidRDefault="007E7E97" w:rsidP="007E7E9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0C550721" w14:textId="77777777" w:rsidR="007E7E97" w:rsidRPr="003C3E24" w:rsidRDefault="007E7E97" w:rsidP="007E7E9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define and properly use basic terms in the field of postal service and traffic,</w:t>
            </w:r>
          </w:p>
          <w:p w14:paraId="34FF2633" w14:textId="77777777" w:rsidR="007E7E97" w:rsidRPr="003C3E24" w:rsidRDefault="007E7E97" w:rsidP="007E7E97">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define basic legal norms and regulations necessary for carrying out the activities of international and domestic postal service and traffic,</w:t>
            </w:r>
          </w:p>
          <w:p w14:paraId="3B69489F" w14:textId="77777777" w:rsidR="007E7E97" w:rsidRPr="003C3E24" w:rsidRDefault="007E7E97" w:rsidP="007E7E97">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implement technological practices,</w:t>
            </w:r>
          </w:p>
          <w:p w14:paraId="5113CA49" w14:textId="77777777" w:rsidR="007E7E97" w:rsidRPr="003C3E24" w:rsidRDefault="007E7E97" w:rsidP="007E7E97">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apply practical skills and routines of the individual work activities in the field of postal service and traffic,</w:t>
            </w:r>
          </w:p>
          <w:p w14:paraId="7F443A24" w14:textId="77777777" w:rsidR="007E7E97" w:rsidRPr="003C3E24" w:rsidRDefault="007E7E97" w:rsidP="007E7E97">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draw up and maintain operating documents in postal service and traffic,</w:t>
            </w:r>
          </w:p>
          <w:p w14:paraId="77777F4B" w14:textId="77777777" w:rsidR="007E7E97" w:rsidRPr="003C3E24" w:rsidRDefault="007E7E97" w:rsidP="007E7E97">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master the issue of the economic geography of selected countries,</w:t>
            </w:r>
          </w:p>
          <w:p w14:paraId="41D1AF6A" w14:textId="3E60F539" w:rsidR="002C0A40" w:rsidRPr="007E7E97" w:rsidRDefault="007E7E97" w:rsidP="007E7E97">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make use of the means of small and medium mechanisation employed in the workplace.</w:t>
            </w:r>
          </w:p>
          <w:p w14:paraId="28AC54B0" w14:textId="77777777" w:rsidR="007E7E97" w:rsidRPr="007E7E97" w:rsidRDefault="007E7E97" w:rsidP="007E7E97">
            <w:pPr>
              <w:pStyle w:val="subtitleblue"/>
              <w:tabs>
                <w:tab w:val="clear" w:pos="454"/>
                <w:tab w:val="left" w:pos="-1413"/>
              </w:tabs>
              <w:spacing w:before="60"/>
              <w:ind w:left="709"/>
              <w:jc w:val="both"/>
              <w:rPr>
                <w:color w:val="auto"/>
                <w:sz w:val="19"/>
                <w:szCs w:val="19"/>
              </w:rPr>
            </w:pPr>
          </w:p>
          <w:p w14:paraId="7EAF55F7" w14:textId="4B1A0F81" w:rsidR="007E7E97" w:rsidRPr="007E7E97" w:rsidRDefault="007E7E97" w:rsidP="007E7E97">
            <w:pPr>
              <w:pStyle w:val="subtitleblue"/>
              <w:tabs>
                <w:tab w:val="clear" w:pos="454"/>
                <w:tab w:val="left" w:pos="-1413"/>
              </w:tabs>
              <w:spacing w:before="60"/>
              <w:jc w:val="both"/>
              <w:rPr>
                <w:color w:val="auto"/>
                <w:sz w:val="19"/>
                <w:szCs w:val="19"/>
              </w:rPr>
            </w:pP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590C6B"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5701931" w14:textId="77777777" w:rsidR="00D01237" w:rsidRDefault="007E7E97" w:rsidP="00557286">
            <w:pPr>
              <w:pStyle w:val="Maintext"/>
              <w:tabs>
                <w:tab w:val="left" w:pos="-988"/>
              </w:tabs>
              <w:spacing w:before="60" w:after="60"/>
              <w:ind w:right="87"/>
              <w:jc w:val="both"/>
              <w:rPr>
                <w:color w:val="auto"/>
                <w:sz w:val="19"/>
              </w:rPr>
            </w:pPr>
            <w:r w:rsidRPr="007E7E97">
              <w:rPr>
                <w:color w:val="auto"/>
                <w:sz w:val="19"/>
              </w:rPr>
              <w:t>Graduates find work as qualified professionals able to carry out more demanding work activities in the field of postal service and traffic. They also find work as postmen, mail sorters, postal carriers, and post office counter clerks.</w:t>
            </w:r>
          </w:p>
          <w:p w14:paraId="6202B32D" w14:textId="77777777" w:rsidR="007E7E97" w:rsidRDefault="007E7E97" w:rsidP="00557286">
            <w:pPr>
              <w:pStyle w:val="Maintext"/>
              <w:tabs>
                <w:tab w:val="left" w:pos="-988"/>
              </w:tabs>
              <w:spacing w:before="60" w:after="60"/>
              <w:ind w:right="87"/>
              <w:jc w:val="both"/>
              <w:rPr>
                <w:color w:val="auto"/>
                <w:sz w:val="19"/>
              </w:rPr>
            </w:pPr>
          </w:p>
          <w:p w14:paraId="5B0D2ED4" w14:textId="77777777" w:rsidR="007E7E97" w:rsidRDefault="007E7E97" w:rsidP="00557286">
            <w:pPr>
              <w:pStyle w:val="Maintext"/>
              <w:tabs>
                <w:tab w:val="left" w:pos="-988"/>
              </w:tabs>
              <w:spacing w:before="60" w:after="60"/>
              <w:ind w:right="87"/>
              <w:jc w:val="both"/>
              <w:rPr>
                <w:color w:val="auto"/>
                <w:sz w:val="19"/>
              </w:rPr>
            </w:pPr>
          </w:p>
          <w:p w14:paraId="27E63C0A" w14:textId="77777777" w:rsidR="007E7E97" w:rsidRDefault="007E7E97" w:rsidP="00557286">
            <w:pPr>
              <w:pStyle w:val="Maintext"/>
              <w:tabs>
                <w:tab w:val="left" w:pos="-988"/>
              </w:tabs>
              <w:spacing w:before="60" w:after="60"/>
              <w:ind w:right="87"/>
              <w:jc w:val="both"/>
              <w:rPr>
                <w:color w:val="auto"/>
                <w:sz w:val="19"/>
              </w:rPr>
            </w:pPr>
          </w:p>
          <w:p w14:paraId="1D7D9F9B" w14:textId="77777777" w:rsidR="007E7E97" w:rsidRDefault="007E7E97" w:rsidP="00557286">
            <w:pPr>
              <w:pStyle w:val="Maintext"/>
              <w:tabs>
                <w:tab w:val="left" w:pos="-988"/>
              </w:tabs>
              <w:spacing w:before="60" w:after="60"/>
              <w:ind w:right="87"/>
              <w:jc w:val="both"/>
              <w:rPr>
                <w:color w:val="auto"/>
                <w:sz w:val="19"/>
              </w:rPr>
            </w:pPr>
          </w:p>
          <w:p w14:paraId="48C852F5" w14:textId="7760AFBB" w:rsidR="007E7E97" w:rsidRPr="00D01237" w:rsidRDefault="007E7E97" w:rsidP="00557286">
            <w:pPr>
              <w:pStyle w:val="Maintext"/>
              <w:tabs>
                <w:tab w:val="left" w:pos="-988"/>
              </w:tabs>
              <w:spacing w:before="60" w:after="60"/>
              <w:ind w:right="87"/>
              <w:jc w:val="both"/>
              <w:rPr>
                <w:color w:val="auto"/>
                <w:sz w:val="19"/>
                <w:szCs w:val="19"/>
              </w:rPr>
            </w:pP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590C6B"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41235622"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590C6B"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41235622"/>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49754E93" w14:textId="77777777" w:rsidR="007E7E97" w:rsidRPr="007E7E97" w:rsidRDefault="007E7E97" w:rsidP="007E7E97">
            <w:pPr>
              <w:pStyle w:val="Maintext"/>
              <w:tabs>
                <w:tab w:val="left" w:pos="-988"/>
              </w:tabs>
              <w:spacing w:before="60" w:after="60"/>
              <w:ind w:left="284" w:right="87"/>
              <w:rPr>
                <w:color w:val="auto"/>
                <w:sz w:val="19"/>
              </w:rPr>
            </w:pPr>
            <w:r w:rsidRPr="007E7E97">
              <w:rPr>
                <w:color w:val="auto"/>
                <w:sz w:val="19"/>
              </w:rPr>
              <w:t xml:space="preserve">Secondary vocational education </w:t>
            </w:r>
          </w:p>
          <w:p w14:paraId="34544BC6" w14:textId="77777777" w:rsidR="007E7E97" w:rsidRPr="007E7E97" w:rsidRDefault="007E7E97" w:rsidP="007E7E97">
            <w:pPr>
              <w:pStyle w:val="Maintext"/>
              <w:tabs>
                <w:tab w:val="left" w:pos="-988"/>
              </w:tabs>
              <w:spacing w:before="60" w:after="60"/>
              <w:ind w:left="284" w:right="87"/>
              <w:rPr>
                <w:color w:val="auto"/>
                <w:sz w:val="19"/>
              </w:rPr>
            </w:pPr>
            <w:r w:rsidRPr="007E7E97">
              <w:rPr>
                <w:color w:val="auto"/>
                <w:sz w:val="19"/>
              </w:rPr>
              <w:t>SKQF/EQF 3</w:t>
            </w:r>
          </w:p>
          <w:p w14:paraId="54136FFB" w14:textId="20EBB3C3" w:rsidR="00936EEA" w:rsidRPr="0083124D" w:rsidRDefault="007E7E97" w:rsidP="007E7E97">
            <w:pPr>
              <w:pStyle w:val="Maintext"/>
              <w:tabs>
                <w:tab w:val="left" w:pos="-988"/>
              </w:tabs>
              <w:spacing w:before="60" w:after="60"/>
              <w:ind w:left="284" w:right="87"/>
              <w:rPr>
                <w:color w:val="auto"/>
                <w:sz w:val="19"/>
                <w:szCs w:val="19"/>
              </w:rPr>
            </w:pPr>
            <w:r w:rsidRPr="007E7E97">
              <w:rPr>
                <w:color w:val="auto"/>
                <w:sz w:val="19"/>
              </w:rPr>
              <w:t>ISCED 353</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775EE5A0" w14:textId="77777777" w:rsidR="007E7E97" w:rsidRPr="007E7E97" w:rsidRDefault="007E7E97" w:rsidP="007E7E97">
            <w:pPr>
              <w:pStyle w:val="Maintext"/>
              <w:tabs>
                <w:tab w:val="left" w:pos="-988"/>
              </w:tabs>
              <w:ind w:left="284" w:right="85"/>
              <w:rPr>
                <w:color w:val="auto"/>
                <w:sz w:val="19"/>
              </w:rPr>
            </w:pPr>
            <w:r w:rsidRPr="007E7E97">
              <w:rPr>
                <w:color w:val="auto"/>
                <w:sz w:val="19"/>
              </w:rPr>
              <w:t>Advanced study educational programmes for graduates of the 3-year field of study</w:t>
            </w:r>
          </w:p>
          <w:p w14:paraId="75FFC8D3" w14:textId="0E9C306D" w:rsidR="00646EBE" w:rsidRPr="0083124D" w:rsidRDefault="007E7E97" w:rsidP="007E7E97">
            <w:pPr>
              <w:pStyle w:val="Maintext"/>
              <w:tabs>
                <w:tab w:val="left" w:pos="-988"/>
              </w:tabs>
              <w:ind w:left="284" w:right="85"/>
              <w:rPr>
                <w:color w:val="FF0000"/>
                <w:sz w:val="19"/>
                <w:szCs w:val="19"/>
              </w:rPr>
            </w:pPr>
            <w:r w:rsidRPr="007E7E97">
              <w:rPr>
                <w:color w:val="auto"/>
                <w:sz w:val="19"/>
              </w:rPr>
              <w:t>SKQF/EQF 4, ISCED 454</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68D4D0DB"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7E7E97">
              <w:rPr>
                <w:sz w:val="19"/>
              </w:rPr>
              <w:t>three</w:t>
            </w:r>
            <w:r w:rsidR="003253C7">
              <w:rPr>
                <w:sz w:val="19"/>
              </w:rPr>
              <w:t>-year</w:t>
            </w:r>
            <w:r>
              <w:rPr>
                <w:sz w:val="19"/>
              </w:rPr>
              <w:t xml:space="preserve"> training program in the given field of study by </w:t>
            </w:r>
            <w:r w:rsidR="00590C6B">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590C6B"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27364C60" w14:textId="2D6903AA" w:rsidR="007E7E97" w:rsidRPr="003C3E24" w:rsidRDefault="007E7E97" w:rsidP="007E7E97">
            <w:pPr>
              <w:pStyle w:val="TableParagraph"/>
              <w:numPr>
                <w:ilvl w:val="0"/>
                <w:numId w:val="4"/>
              </w:numPr>
              <w:tabs>
                <w:tab w:val="left" w:pos="457"/>
                <w:tab w:val="left" w:pos="458"/>
              </w:tabs>
              <w:spacing w:line="276" w:lineRule="auto"/>
              <w:rPr>
                <w:rFonts w:ascii="Arial" w:hAnsi="Arial" w:cs="Arial"/>
                <w:sz w:val="19"/>
                <w:szCs w:val="19"/>
              </w:rPr>
            </w:pPr>
            <w:r>
              <w:rPr>
                <w:rFonts w:ascii="Arial" w:hAnsi="Arial"/>
                <w:sz w:val="19"/>
              </w:rPr>
              <w:t xml:space="preserve"> Completion of 9th year of primary school</w:t>
            </w:r>
          </w:p>
          <w:p w14:paraId="7E564807" w14:textId="30BE5BC3" w:rsidR="00FA4EE1" w:rsidRPr="0083124D" w:rsidRDefault="007E7E97" w:rsidP="007E7E97">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 xml:space="preserve"> Demonstration of required knowledge prerequisites via admission procedure</w:t>
            </w: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590C6B"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599B44B0" w:rsidR="00AE63B0" w:rsidRPr="0083124D" w:rsidRDefault="00A57564" w:rsidP="00557286">
            <w:pPr>
              <w:pStyle w:val="subtitleblue"/>
              <w:tabs>
                <w:tab w:val="clear" w:pos="340"/>
                <w:tab w:val="clear" w:pos="454"/>
                <w:tab w:val="right" w:pos="-1271"/>
              </w:tabs>
              <w:spacing w:before="120"/>
              <w:rPr>
                <w:sz w:val="20"/>
              </w:rPr>
            </w:pPr>
            <w:r>
              <w:rPr>
                <w:noProof/>
              </w:rPr>
              <w:pict w14:anchorId="0FBC30AC">
                <v:shape id="_x0000_s1034" type="#_x0000_t75" style="position:absolute;margin-left:289.85pt;margin-top:14.8pt;width:102.6pt;height:98.4pt;z-index:9;mso-position-horizontal-relative:text;mso-position-vertical-relative:text;mso-width-relative:page;mso-height-relative:page">
                  <v:imagedata r:id="rId11" o:title="podpis_riaditela"/>
                </v:shape>
              </w:pict>
            </w:r>
            <w:r>
              <w:rPr>
                <w:noProof/>
              </w:rPr>
              <w:pict w14:anchorId="2FC3A42F">
                <v:shape id="_x0000_s1033" type="#_x0000_t75" style="position:absolute;margin-left:167.45pt;margin-top:11.6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48913391" w:rsidR="00EA57A7" w:rsidRPr="0083124D" w:rsidRDefault="00590C6B"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186AF08E" w:rsidR="00AC6C74" w:rsidRPr="0083124D" w:rsidRDefault="00590C6B"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E4696" w14:textId="77777777" w:rsidR="00590C6B" w:rsidRDefault="00590C6B" w:rsidP="009565F2">
      <w:r>
        <w:separator/>
      </w:r>
    </w:p>
  </w:endnote>
  <w:endnote w:type="continuationSeparator" w:id="0">
    <w:p w14:paraId="4853B7A0" w14:textId="77777777" w:rsidR="00590C6B" w:rsidRDefault="00590C6B"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A57564">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59C91" w14:textId="77777777" w:rsidR="00590C6B" w:rsidRPr="007A4572" w:rsidRDefault="00590C6B" w:rsidP="009565F2">
      <w:pPr>
        <w:rPr>
          <w:color w:val="FFFFFF"/>
        </w:rPr>
      </w:pPr>
    </w:p>
  </w:footnote>
  <w:footnote w:type="continuationSeparator" w:id="0">
    <w:p w14:paraId="07D2117F" w14:textId="77777777" w:rsidR="00590C6B" w:rsidRDefault="00590C6B"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590C6B"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590C6B"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3hyWEzuoar0Kmfce7ALtp6Y0EAg7yBFR9PRRkf8J6rhsyAy28SENiOAd507vkYDpVS6bXUzoAp4lh1ZhAhSZkQ==" w:salt="YT+raD8nUbPJNFT2oiVwOQ=="/>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0C6B"/>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E7E97"/>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64"/>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077"/>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76B4C-71C8-44C5-A30C-CF38FD41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648</Words>
  <Characters>3698</Characters>
  <Application>Microsoft Office Word</Application>
  <DocSecurity>8</DocSecurity>
  <Lines>30</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4338</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2021-01-18T13:06:00Z</cp:lastPrinted>
  <dcterms:created xsi:type="dcterms:W3CDTF">2020-12-07T13:43:00Z</dcterms:created>
  <dcterms:modified xsi:type="dcterms:W3CDTF">2021-01-18T13:06:00Z</dcterms:modified>
</cp:coreProperties>
</file>