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161F6C" w:rsidP="009006B7">
            <w:pPr>
              <w:pStyle w:val="Maintext"/>
              <w:tabs>
                <w:tab w:val="left" w:pos="-1271"/>
              </w:tabs>
              <w:spacing w:before="120" w:after="120"/>
              <w:rPr>
                <w:color w:val="auto"/>
                <w:sz w:val="22"/>
                <w:szCs w:val="16"/>
              </w:rPr>
            </w:pPr>
            <w:r w:rsidRPr="00161F6C">
              <w:rPr>
                <w:color w:val="auto"/>
                <w:sz w:val="22"/>
                <w:szCs w:val="16"/>
              </w:rPr>
              <w:t>Field of study 2675 L 01 electrical engineering – energetics</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161F6C"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161F6C">
              <w:rPr>
                <w:color w:val="auto"/>
                <w:sz w:val="22"/>
                <w:szCs w:val="16"/>
              </w:rPr>
              <w:t>Študijný</w:t>
            </w:r>
            <w:proofErr w:type="spellEnd"/>
            <w:r w:rsidRPr="00161F6C">
              <w:rPr>
                <w:color w:val="auto"/>
                <w:sz w:val="22"/>
                <w:szCs w:val="16"/>
              </w:rPr>
              <w:t xml:space="preserve"> </w:t>
            </w:r>
            <w:proofErr w:type="spellStart"/>
            <w:r w:rsidRPr="00161F6C">
              <w:rPr>
                <w:color w:val="auto"/>
                <w:sz w:val="22"/>
                <w:szCs w:val="16"/>
              </w:rPr>
              <w:t>odbor</w:t>
            </w:r>
            <w:proofErr w:type="spellEnd"/>
            <w:r w:rsidRPr="00161F6C">
              <w:rPr>
                <w:color w:val="auto"/>
                <w:sz w:val="22"/>
                <w:szCs w:val="16"/>
              </w:rPr>
              <w:t xml:space="preserve"> 2675 L 01 </w:t>
            </w:r>
            <w:proofErr w:type="spellStart"/>
            <w:r w:rsidRPr="00161F6C">
              <w:rPr>
                <w:color w:val="auto"/>
                <w:sz w:val="22"/>
                <w:szCs w:val="16"/>
              </w:rPr>
              <w:t>elektrotechnika</w:t>
            </w:r>
            <w:proofErr w:type="spellEnd"/>
            <w:r w:rsidRPr="00161F6C">
              <w:rPr>
                <w:color w:val="auto"/>
                <w:sz w:val="22"/>
                <w:szCs w:val="16"/>
              </w:rPr>
              <w:t xml:space="preserve"> – </w:t>
            </w:r>
            <w:proofErr w:type="spellStart"/>
            <w:r w:rsidRPr="00161F6C">
              <w:rPr>
                <w:color w:val="auto"/>
                <w:sz w:val="22"/>
                <w:szCs w:val="16"/>
              </w:rPr>
              <w:t>energetika</w:t>
            </w:r>
            <w:proofErr w:type="spellEnd"/>
            <w:r w:rsidRPr="00161F6C">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F90979" w:rsidRPr="00161F6C" w:rsidRDefault="000464F9" w:rsidP="00161F6C">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communicate correctly in the official language, both verbally and in writing,</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communicate using one world language at least at the B1 level per the Common European Reference Framework,</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adapt to changing living and working conditions, to work in a team and to take responsibility for assigned tasks,</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work with information, to use information and communication technologies and equipment,</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apply basic mathematical relations and the laws of physics and chemistry when resolving practical tasks,</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apply the principles of financial literacy, consumer protection and to understand business and the world of work,</w:t>
            </w:r>
          </w:p>
          <w:p w:rsidR="00161F6C" w:rsidRPr="00161F6C" w:rsidRDefault="00161F6C" w:rsidP="00161F6C">
            <w:pPr>
              <w:pStyle w:val="TableParagraph"/>
              <w:numPr>
                <w:ilvl w:val="0"/>
                <w:numId w:val="6"/>
              </w:numPr>
              <w:tabs>
                <w:tab w:val="left" w:pos="457"/>
                <w:tab w:val="left" w:pos="458"/>
              </w:tabs>
              <w:ind w:right="91"/>
              <w:rPr>
                <w:rFonts w:ascii="Arial" w:hAnsi="Arial" w:cs="Arial"/>
                <w:color w:val="000000" w:themeColor="text1"/>
                <w:sz w:val="19"/>
                <w:szCs w:val="19"/>
              </w:rPr>
            </w:pPr>
            <w:r w:rsidRPr="00161F6C">
              <w:rPr>
                <w:rFonts w:ascii="Arial" w:hAnsi="Arial"/>
                <w:color w:val="000000" w:themeColor="text1"/>
                <w:sz w:val="19"/>
                <w:szCs w:val="19"/>
              </w:rPr>
              <w:t>to act environmentally with regard to a sustainable development strategy,</w:t>
            </w:r>
          </w:p>
          <w:p w:rsidR="00161F6C" w:rsidRPr="00161F6C" w:rsidRDefault="00161F6C" w:rsidP="00161F6C">
            <w:pPr>
              <w:pStyle w:val="TableParagraph"/>
              <w:numPr>
                <w:ilvl w:val="0"/>
                <w:numId w:val="6"/>
              </w:numPr>
              <w:tabs>
                <w:tab w:val="left" w:pos="456"/>
                <w:tab w:val="left" w:pos="457"/>
              </w:tabs>
              <w:ind w:right="91"/>
              <w:rPr>
                <w:rFonts w:ascii="Arial" w:hAnsi="Arial" w:cs="Arial"/>
                <w:color w:val="000000" w:themeColor="text1"/>
                <w:sz w:val="19"/>
                <w:szCs w:val="19"/>
              </w:rPr>
            </w:pPr>
            <w:r w:rsidRPr="00161F6C">
              <w:rPr>
                <w:rFonts w:ascii="Arial" w:hAnsi="Arial"/>
                <w:color w:val="000000" w:themeColor="text1"/>
                <w:sz w:val="19"/>
                <w:szCs w:val="19"/>
              </w:rPr>
              <w:t>to apply the principles of occupational health and safety and environmental protection,</w:t>
            </w:r>
          </w:p>
          <w:p w:rsidR="00161F6C" w:rsidRPr="00161F6C" w:rsidRDefault="00161F6C" w:rsidP="00161F6C">
            <w:pPr>
              <w:pStyle w:val="TableParagraph"/>
              <w:numPr>
                <w:ilvl w:val="0"/>
                <w:numId w:val="6"/>
              </w:numPr>
              <w:tabs>
                <w:tab w:val="left" w:pos="457"/>
                <w:tab w:val="left" w:pos="458"/>
              </w:tabs>
              <w:ind w:right="91"/>
              <w:jc w:val="both"/>
              <w:rPr>
                <w:rFonts w:ascii="Arial" w:hAnsi="Arial" w:cs="Arial"/>
                <w:color w:val="000000" w:themeColor="text1"/>
                <w:sz w:val="19"/>
                <w:szCs w:val="19"/>
              </w:rPr>
            </w:pPr>
            <w:r w:rsidRPr="00161F6C">
              <w:rPr>
                <w:rFonts w:ascii="Arial" w:hAnsi="Arial"/>
                <w:color w:val="000000" w:themeColor="text1"/>
                <w:sz w:val="19"/>
                <w:szCs w:val="19"/>
              </w:rPr>
              <w:t xml:space="preserve">to read and draw technical drawings, diagrams, work tutorials, to understand technical documentation, standards, regulations and to keep operational-technical documentation of energy equipment, </w:t>
            </w:r>
          </w:p>
          <w:p w:rsidR="00161F6C" w:rsidRPr="00161F6C" w:rsidRDefault="00161F6C" w:rsidP="00161F6C">
            <w:pPr>
              <w:pStyle w:val="Zkladntext"/>
              <w:numPr>
                <w:ilvl w:val="0"/>
                <w:numId w:val="6"/>
              </w:numPr>
              <w:ind w:right="91"/>
              <w:rPr>
                <w:rFonts w:ascii="Arial" w:hAnsi="Arial" w:cs="Arial"/>
                <w:color w:val="000000" w:themeColor="text1"/>
                <w:sz w:val="19"/>
                <w:szCs w:val="19"/>
              </w:rPr>
            </w:pPr>
            <w:r w:rsidRPr="00161F6C">
              <w:rPr>
                <w:rFonts w:ascii="Arial" w:hAnsi="Arial"/>
                <w:color w:val="000000" w:themeColor="text1"/>
                <w:sz w:val="19"/>
                <w:szCs w:val="19"/>
              </w:rPr>
              <w:t>to select the correct technical process for production, installation, maintenance, set-up, technical parameters of electrical and electronic equipment in energy sector,</w:t>
            </w:r>
          </w:p>
          <w:p w:rsidR="00161F6C" w:rsidRPr="00161F6C" w:rsidRDefault="00161F6C" w:rsidP="00161F6C">
            <w:pPr>
              <w:pStyle w:val="TableParagraph"/>
              <w:numPr>
                <w:ilvl w:val="0"/>
                <w:numId w:val="6"/>
              </w:numPr>
              <w:tabs>
                <w:tab w:val="left" w:pos="457"/>
                <w:tab w:val="left" w:pos="458"/>
              </w:tabs>
              <w:ind w:right="91"/>
              <w:jc w:val="both"/>
              <w:rPr>
                <w:rFonts w:ascii="Arial" w:hAnsi="Arial" w:cs="Arial"/>
                <w:color w:val="000000" w:themeColor="text1"/>
                <w:sz w:val="19"/>
                <w:szCs w:val="19"/>
              </w:rPr>
            </w:pPr>
            <w:r w:rsidRPr="00161F6C">
              <w:rPr>
                <w:rFonts w:ascii="Arial" w:hAnsi="Arial"/>
                <w:color w:val="000000" w:themeColor="text1"/>
                <w:sz w:val="19"/>
                <w:szCs w:val="19"/>
              </w:rPr>
              <w:t>to perform installation, maintenance and repair of electrical lines, energy equipment, electrical installation and electrical circuits,</w:t>
            </w:r>
          </w:p>
          <w:p w:rsidR="00161F6C" w:rsidRPr="00161F6C" w:rsidRDefault="00161F6C" w:rsidP="00161F6C">
            <w:pPr>
              <w:pStyle w:val="TableParagraph"/>
              <w:numPr>
                <w:ilvl w:val="0"/>
                <w:numId w:val="6"/>
              </w:numPr>
              <w:tabs>
                <w:tab w:val="left" w:pos="456"/>
                <w:tab w:val="left" w:pos="457"/>
              </w:tabs>
              <w:ind w:right="91"/>
              <w:rPr>
                <w:rFonts w:ascii="Arial" w:hAnsi="Arial" w:cs="Arial"/>
                <w:color w:val="000000" w:themeColor="text1"/>
                <w:sz w:val="19"/>
                <w:szCs w:val="19"/>
              </w:rPr>
            </w:pPr>
            <w:r w:rsidRPr="00161F6C">
              <w:rPr>
                <w:rFonts w:ascii="Arial" w:hAnsi="Arial"/>
                <w:color w:val="000000" w:themeColor="text1"/>
                <w:sz w:val="19"/>
                <w:szCs w:val="19"/>
              </w:rPr>
              <w:t>to design, construct, test and operate electrical machinery, instruments and equipment,</w:t>
            </w:r>
          </w:p>
          <w:p w:rsidR="00161F6C" w:rsidRPr="00161F6C" w:rsidRDefault="00161F6C" w:rsidP="00161F6C">
            <w:pPr>
              <w:pStyle w:val="Odsekzoznamu"/>
              <w:widowControl w:val="0"/>
              <w:numPr>
                <w:ilvl w:val="0"/>
                <w:numId w:val="6"/>
              </w:numPr>
              <w:autoSpaceDE w:val="0"/>
              <w:autoSpaceDN w:val="0"/>
              <w:spacing w:after="0" w:line="240" w:lineRule="auto"/>
              <w:ind w:right="91"/>
              <w:contextualSpacing w:val="0"/>
              <w:jc w:val="both"/>
              <w:rPr>
                <w:rFonts w:ascii="Arial" w:hAnsi="Arial" w:cs="Arial"/>
                <w:color w:val="000000" w:themeColor="text1"/>
                <w:sz w:val="19"/>
                <w:szCs w:val="19"/>
              </w:rPr>
            </w:pPr>
            <w:r w:rsidRPr="00161F6C">
              <w:rPr>
                <w:rFonts w:ascii="Arial" w:hAnsi="Arial"/>
                <w:color w:val="000000" w:themeColor="text1"/>
                <w:sz w:val="19"/>
                <w:szCs w:val="19"/>
              </w:rPr>
              <w:t>to functionally and effectively operate energy machinery and equipment, to set-up operational parameters, electrical engineering or electronic equipment and ensure basic maintenance and optimal mode of operation in accordance with technical and operational conditions,</w:t>
            </w:r>
          </w:p>
          <w:p w:rsidR="00161F6C" w:rsidRPr="00161F6C" w:rsidRDefault="00161F6C" w:rsidP="00161F6C">
            <w:pPr>
              <w:pStyle w:val="TableParagraph"/>
              <w:numPr>
                <w:ilvl w:val="0"/>
                <w:numId w:val="6"/>
              </w:numPr>
              <w:tabs>
                <w:tab w:val="left" w:pos="456"/>
                <w:tab w:val="left" w:pos="457"/>
              </w:tabs>
              <w:ind w:right="91"/>
              <w:jc w:val="both"/>
              <w:rPr>
                <w:rFonts w:ascii="Arial" w:hAnsi="Arial" w:cs="Arial"/>
                <w:color w:val="000000" w:themeColor="text1"/>
                <w:sz w:val="19"/>
                <w:szCs w:val="19"/>
              </w:rPr>
            </w:pPr>
            <w:r w:rsidRPr="00161F6C">
              <w:rPr>
                <w:rFonts w:ascii="Arial" w:hAnsi="Arial"/>
                <w:color w:val="000000" w:themeColor="text1"/>
                <w:sz w:val="19"/>
                <w:szCs w:val="19"/>
              </w:rPr>
              <w:t>to understand the issues of electrical networks, circuits, energy equipment and plants producing electricity in the lighting systems and thermal installations sector,</w:t>
            </w:r>
          </w:p>
          <w:p w:rsidR="00161F6C" w:rsidRPr="00F90979" w:rsidRDefault="00161F6C" w:rsidP="00161F6C">
            <w:pPr>
              <w:pStyle w:val="subtitleblue"/>
              <w:numPr>
                <w:ilvl w:val="0"/>
                <w:numId w:val="6"/>
              </w:numPr>
              <w:tabs>
                <w:tab w:val="clear" w:pos="340"/>
                <w:tab w:val="clear" w:pos="454"/>
                <w:tab w:val="left" w:pos="-1413"/>
              </w:tabs>
              <w:spacing w:before="60"/>
              <w:jc w:val="both"/>
              <w:rPr>
                <w:color w:val="auto"/>
                <w:sz w:val="22"/>
                <w:szCs w:val="22"/>
              </w:rPr>
            </w:pPr>
            <w:r w:rsidRPr="00161F6C">
              <w:rPr>
                <w:color w:val="000000" w:themeColor="text1"/>
                <w:sz w:val="19"/>
                <w:szCs w:val="19"/>
              </w:rPr>
              <w:t>to use measuring instruments to measure electrical quantities and parameters of measuring and regulating equipment, characteristics of electrical machinery and instruments, to use measured values for the control of the operation of energy distribution equipment and equipment for the transmission and distribution of electricity.</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161F6C" w:rsidRPr="00161F6C" w:rsidRDefault="00161F6C" w:rsidP="00161F6C">
            <w:pPr>
              <w:pStyle w:val="Maintext"/>
              <w:tabs>
                <w:tab w:val="left" w:pos="-988"/>
              </w:tabs>
              <w:ind w:right="87"/>
              <w:jc w:val="both"/>
              <w:rPr>
                <w:color w:val="auto"/>
                <w:sz w:val="19"/>
                <w:szCs w:val="19"/>
              </w:rPr>
            </w:pPr>
            <w:r w:rsidRPr="00161F6C">
              <w:rPr>
                <w:color w:val="auto"/>
                <w:sz w:val="19"/>
                <w:szCs w:val="19"/>
              </w:rPr>
              <w:t>Graduates find work as middle technical-economic specialists in the electrical engineering and energy sector, in construction, technological and design professional activities. They can manage operation in electrical engineering and energy companies, manage supplying, perform revision and refurbish electrical equipment.</w:t>
            </w:r>
          </w:p>
          <w:p w:rsidR="009006B7" w:rsidRPr="002762CE" w:rsidRDefault="00161F6C" w:rsidP="00161F6C">
            <w:pPr>
              <w:pStyle w:val="Maintext"/>
              <w:tabs>
                <w:tab w:val="left" w:pos="-988"/>
              </w:tabs>
              <w:spacing w:before="60" w:after="60" w:line="240" w:lineRule="auto"/>
              <w:ind w:right="87"/>
              <w:jc w:val="both"/>
              <w:rPr>
                <w:color w:val="auto"/>
                <w:lang w:val="sk-SK"/>
              </w:rPr>
            </w:pPr>
            <w:r w:rsidRPr="00161F6C">
              <w:rPr>
                <w:color w:val="auto"/>
                <w:sz w:val="19"/>
                <w:szCs w:val="19"/>
              </w:rPr>
              <w:t xml:space="preserve">Examples of potential job titles include: energy technician, designer and constructor, foreman energy technician, revision technician, dispatcher of transmission and distribution of electricity, electricity installer of electro energetic security, technical inspection and diagnosis technician in electrical engineering and energy sector, electrical </w:t>
            </w:r>
            <w:r w:rsidRPr="00161F6C">
              <w:rPr>
                <w:color w:val="auto"/>
                <w:sz w:val="19"/>
                <w:szCs w:val="19"/>
              </w:rPr>
              <w:lastRenderedPageBreak/>
              <w:t>engineering systems sales professional, quality controller electro technician, test engineer of electrical engineering equipment.</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304232327"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AE78C7"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304232327"/>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A02A26" w:rsidRPr="00A02A26" w:rsidRDefault="00A02A26" w:rsidP="00A02A26">
            <w:pPr>
              <w:pStyle w:val="Maintext"/>
              <w:tabs>
                <w:tab w:val="left" w:pos="-988"/>
              </w:tabs>
              <w:spacing w:before="60" w:after="60"/>
              <w:ind w:left="284" w:right="87"/>
              <w:rPr>
                <w:color w:val="auto"/>
                <w:sz w:val="19"/>
                <w:szCs w:val="19"/>
              </w:rPr>
            </w:pPr>
            <w:r w:rsidRPr="00A02A26">
              <w:rPr>
                <w:color w:val="auto"/>
                <w:sz w:val="19"/>
                <w:szCs w:val="19"/>
              </w:rPr>
              <w:t xml:space="preserve">Full secondary vocational education </w:t>
            </w:r>
          </w:p>
          <w:p w:rsidR="00A02A26" w:rsidRPr="00A02A26" w:rsidRDefault="00A02A26" w:rsidP="00A02A26">
            <w:pPr>
              <w:pStyle w:val="Maintext"/>
              <w:tabs>
                <w:tab w:val="left" w:pos="-988"/>
              </w:tabs>
              <w:spacing w:before="60" w:after="60"/>
              <w:ind w:left="284" w:right="87"/>
              <w:rPr>
                <w:color w:val="auto"/>
                <w:sz w:val="19"/>
                <w:szCs w:val="19"/>
              </w:rPr>
            </w:pPr>
            <w:r w:rsidRPr="00A02A26">
              <w:rPr>
                <w:color w:val="auto"/>
                <w:sz w:val="19"/>
                <w:szCs w:val="19"/>
              </w:rPr>
              <w:t>SKEQ/EQF 4</w:t>
            </w:r>
          </w:p>
          <w:p w:rsidR="00936EEA" w:rsidRPr="0083124D" w:rsidRDefault="00A02A26" w:rsidP="00A02A26">
            <w:pPr>
              <w:pStyle w:val="Maintext"/>
              <w:tabs>
                <w:tab w:val="left" w:pos="-988"/>
              </w:tabs>
              <w:spacing w:before="60" w:after="60" w:line="240" w:lineRule="auto"/>
              <w:ind w:left="284" w:right="87"/>
              <w:rPr>
                <w:color w:val="auto"/>
                <w:sz w:val="19"/>
                <w:szCs w:val="19"/>
              </w:rPr>
            </w:pPr>
            <w:r w:rsidRPr="00A02A26">
              <w:rPr>
                <w:color w:val="auto"/>
                <w:sz w:val="19"/>
                <w:szCs w:val="19"/>
              </w:rPr>
              <w:t>ISCED 454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A02A26" w:rsidRPr="00A02A26" w:rsidRDefault="00A02A26" w:rsidP="00A02A26">
            <w:pPr>
              <w:pStyle w:val="Maintext"/>
              <w:tabs>
                <w:tab w:val="left" w:pos="-988"/>
              </w:tabs>
              <w:spacing w:before="60" w:after="60"/>
              <w:ind w:left="284" w:right="87"/>
              <w:rPr>
                <w:color w:val="auto"/>
                <w:sz w:val="19"/>
                <w:szCs w:val="19"/>
              </w:rPr>
            </w:pPr>
            <w:r w:rsidRPr="00A02A26">
              <w:rPr>
                <w:color w:val="auto"/>
                <w:sz w:val="19"/>
                <w:szCs w:val="19"/>
              </w:rPr>
              <w:t>Higher vocational education SKQF/EQF 5, ISCED 554</w:t>
            </w:r>
          </w:p>
          <w:p w:rsidR="00646EBE" w:rsidRPr="0083124D" w:rsidRDefault="00A02A26" w:rsidP="00A02A26">
            <w:pPr>
              <w:pStyle w:val="Maintext"/>
              <w:tabs>
                <w:tab w:val="left" w:pos="-988"/>
              </w:tabs>
              <w:spacing w:before="60" w:after="60" w:line="240" w:lineRule="auto"/>
              <w:ind w:left="284" w:right="87"/>
              <w:rPr>
                <w:color w:val="FF0000"/>
                <w:sz w:val="19"/>
                <w:szCs w:val="19"/>
              </w:rPr>
            </w:pPr>
            <w:r w:rsidRPr="00A02A26">
              <w:rPr>
                <w:color w:val="auto"/>
                <w:sz w:val="19"/>
                <w:szCs w:val="19"/>
              </w:rPr>
              <w:t>University, 1st degree, ISCED 655, 645, 665</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A02A26" w:rsidRPr="00A02A26">
              <w:rPr>
                <w:color w:val="auto"/>
                <w:sz w:val="19"/>
                <w:szCs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A02A26" w:rsidRPr="00A02A26" w:rsidRDefault="00A02A26" w:rsidP="00A02A26">
            <w:pPr>
              <w:pStyle w:val="Odsekzoznamu"/>
              <w:numPr>
                <w:ilvl w:val="0"/>
                <w:numId w:val="4"/>
              </w:numPr>
              <w:rPr>
                <w:rFonts w:ascii="Arial" w:eastAsia="Liberation Sans Narrow" w:hAnsi="Arial" w:cs="Liberation Sans Narrow"/>
                <w:sz w:val="19"/>
                <w:szCs w:val="19"/>
              </w:rPr>
            </w:pPr>
            <w:r w:rsidRPr="00A02A26">
              <w:rPr>
                <w:rFonts w:ascii="Arial" w:eastAsia="Liberation Sans Narrow" w:hAnsi="Arial" w:cs="Liberation Sans Narrow"/>
                <w:sz w:val="19"/>
                <w:szCs w:val="19"/>
              </w:rPr>
              <w:t>secondary vocational education in the given field of study, ISCED 353</w:t>
            </w:r>
          </w:p>
          <w:p w:rsidR="00FA4EE1" w:rsidRPr="00A02A26" w:rsidRDefault="00A02A26" w:rsidP="00A02A26">
            <w:pPr>
              <w:pStyle w:val="Odsekzoznamu"/>
              <w:numPr>
                <w:ilvl w:val="0"/>
                <w:numId w:val="4"/>
              </w:numPr>
              <w:rPr>
                <w:rFonts w:ascii="Arial" w:eastAsia="Liberation Sans Narrow" w:hAnsi="Arial" w:cs="Liberation Sans Narrow"/>
                <w:sz w:val="19"/>
                <w:szCs w:val="19"/>
              </w:rPr>
            </w:pPr>
            <w:r w:rsidRPr="00A02A26">
              <w:rPr>
                <w:rFonts w:ascii="Arial" w:eastAsia="Liberation Sans Narrow" w:hAnsi="Arial" w:cs="Liberation Sans Narrow"/>
                <w:sz w:val="19"/>
                <w:szCs w:val="19"/>
              </w:rPr>
              <w:t xml:space="preserve">fulfilment of prerequisites in the admission procedure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AE78C7"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356FF5" w:rsidP="009D7334">
            <w:pPr>
              <w:pStyle w:val="Maintext"/>
              <w:tabs>
                <w:tab w:val="clear" w:pos="454"/>
                <w:tab w:val="left" w:pos="-988"/>
              </w:tabs>
              <w:spacing w:before="60" w:after="60" w:line="240" w:lineRule="auto"/>
              <w:ind w:left="185" w:right="85"/>
              <w:jc w:val="both"/>
              <w:rPr>
                <w:noProof/>
                <w:color w:val="auto"/>
              </w:rPr>
            </w:pPr>
            <w:r w:rsidRPr="00356FF5">
              <w:rPr>
                <w:noProof/>
                <w:lang w:val="sk-SK" w:eastAsia="sk-SK"/>
              </w:rPr>
              <w:drawing>
                <wp:anchor distT="0" distB="0" distL="114300" distR="114300" simplePos="0" relativeHeight="251662848" behindDoc="0" locked="0" layoutInCell="1" allowOverlap="1">
                  <wp:simplePos x="0" y="0"/>
                  <wp:positionH relativeFrom="column">
                    <wp:posOffset>3642995</wp:posOffset>
                  </wp:positionH>
                  <wp:positionV relativeFrom="paragraph">
                    <wp:posOffset>-156845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FF5">
              <w:rPr>
                <w:noProof/>
                <w:lang w:val="sk-SK" w:eastAsia="sk-SK"/>
              </w:rPr>
              <w:drawing>
                <wp:anchor distT="0" distB="0" distL="114300" distR="114300" simplePos="0" relativeHeight="251661824" behindDoc="0" locked="0" layoutInCell="1" allowOverlap="1">
                  <wp:simplePos x="0" y="0"/>
                  <wp:positionH relativeFrom="column">
                    <wp:posOffset>2080895</wp:posOffset>
                  </wp:positionH>
                  <wp:positionV relativeFrom="paragraph">
                    <wp:posOffset>-202565</wp:posOffset>
                  </wp:positionV>
                  <wp:extent cx="1589405" cy="125222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AE78C7"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AE78C7"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C7" w:rsidRDefault="00AE78C7" w:rsidP="009565F2">
      <w:r>
        <w:separator/>
      </w:r>
    </w:p>
  </w:endnote>
  <w:endnote w:type="continuationSeparator" w:id="0">
    <w:p w:rsidR="00AE78C7" w:rsidRDefault="00AE78C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356FF5">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C7" w:rsidRPr="007A4572" w:rsidRDefault="00AE78C7" w:rsidP="009565F2">
      <w:pPr>
        <w:rPr>
          <w:color w:val="FFFFFF"/>
        </w:rPr>
      </w:pPr>
    </w:p>
  </w:footnote>
  <w:footnote w:type="continuationSeparator" w:id="0">
    <w:p w:rsidR="00AE78C7" w:rsidRDefault="00AE78C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JQ0DTrpqfzpT8XDip+VvsvEMexiKFxng1q5HigrxNYebG2KR82+v085fGIZ7UYcox9XJuwZe7Kuw/WDR22bYkA==" w:salt="sGOI1SkFV9gqKZYQx01lVw=="/>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1F6C"/>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56FF5"/>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2A26"/>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E78C7"/>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1933"/>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 w:type="paragraph" w:styleId="Zkladntext">
    <w:name w:val="Body Text"/>
    <w:basedOn w:val="Normlny"/>
    <w:link w:val="ZkladntextChar"/>
    <w:rsid w:val="00161F6C"/>
    <w:pPr>
      <w:tabs>
        <w:tab w:val="left" w:pos="426"/>
      </w:tabs>
      <w:spacing w:before="0"/>
      <w:jc w:val="both"/>
    </w:pPr>
    <w:rPr>
      <w:rFonts w:ascii="Times New Roman" w:eastAsia="Times New Roman" w:hAnsi="Times New Roman" w:cs="Times New Roman"/>
      <w:color w:val="auto"/>
      <w:sz w:val="22"/>
      <w:szCs w:val="20"/>
      <w:lang w:eastAsia="cs-CZ"/>
    </w:rPr>
  </w:style>
  <w:style w:type="character" w:customStyle="1" w:styleId="ZkladntextChar">
    <w:name w:val="Základný text Char"/>
    <w:basedOn w:val="Predvolenpsmoodseku"/>
    <w:link w:val="Zkladntext"/>
    <w:rsid w:val="00161F6C"/>
    <w:rPr>
      <w:rFonts w:ascii="Times New Roman" w:eastAsia="Times New Roman" w:hAnsi="Times New Roman" w:cs="Times New Roman"/>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8F18-A373-46BB-8526-DB769882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872</Words>
  <Characters>4976</Characters>
  <Application>Microsoft Office Word</Application>
  <DocSecurity>8</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5837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9</cp:revision>
  <cp:lastPrinted>2020-06-12T06:21:00Z</cp:lastPrinted>
  <dcterms:created xsi:type="dcterms:W3CDTF">2020-08-13T09:53:00Z</dcterms:created>
  <dcterms:modified xsi:type="dcterms:W3CDTF">2020-11-23T10:28:00Z</dcterms:modified>
</cp:coreProperties>
</file>