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C94B47" w:rsidP="009006B7">
            <w:pPr>
              <w:pStyle w:val="Maintext"/>
              <w:tabs>
                <w:tab w:val="left" w:pos="-1271"/>
              </w:tabs>
              <w:spacing w:before="120" w:after="120"/>
              <w:rPr>
                <w:color w:val="auto"/>
                <w:sz w:val="22"/>
                <w:szCs w:val="16"/>
              </w:rPr>
            </w:pPr>
            <w:r w:rsidRPr="00C94B47">
              <w:rPr>
                <w:color w:val="auto"/>
                <w:sz w:val="22"/>
                <w:szCs w:val="16"/>
              </w:rPr>
              <w:t>Field of study 2679 K mechanic, mechatronic</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C94B47"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C94B47">
              <w:rPr>
                <w:color w:val="auto"/>
                <w:sz w:val="22"/>
                <w:szCs w:val="16"/>
              </w:rPr>
              <w:t>Študijný</w:t>
            </w:r>
            <w:proofErr w:type="spellEnd"/>
            <w:r w:rsidRPr="00C94B47">
              <w:rPr>
                <w:color w:val="auto"/>
                <w:sz w:val="22"/>
                <w:szCs w:val="16"/>
              </w:rPr>
              <w:t xml:space="preserve"> </w:t>
            </w:r>
            <w:proofErr w:type="spellStart"/>
            <w:r w:rsidRPr="00C94B47">
              <w:rPr>
                <w:color w:val="auto"/>
                <w:sz w:val="22"/>
                <w:szCs w:val="16"/>
              </w:rPr>
              <w:t>odbor</w:t>
            </w:r>
            <w:proofErr w:type="spellEnd"/>
            <w:r w:rsidRPr="00C94B47">
              <w:rPr>
                <w:color w:val="auto"/>
                <w:sz w:val="22"/>
                <w:szCs w:val="16"/>
              </w:rPr>
              <w:t xml:space="preserve"> 2679 K </w:t>
            </w:r>
            <w:proofErr w:type="spellStart"/>
            <w:r w:rsidRPr="00C94B47">
              <w:rPr>
                <w:color w:val="auto"/>
                <w:sz w:val="22"/>
                <w:szCs w:val="16"/>
              </w:rPr>
              <w:t>mechanik</w:t>
            </w:r>
            <w:proofErr w:type="spellEnd"/>
            <w:r w:rsidRPr="00C94B47">
              <w:rPr>
                <w:color w:val="auto"/>
                <w:sz w:val="22"/>
                <w:szCs w:val="16"/>
              </w:rPr>
              <w:t xml:space="preserve"> </w:t>
            </w:r>
            <w:proofErr w:type="spellStart"/>
            <w:r w:rsidRPr="00C94B47">
              <w:rPr>
                <w:color w:val="auto"/>
                <w:sz w:val="22"/>
                <w:szCs w:val="16"/>
              </w:rPr>
              <w:t>mechatronik</w:t>
            </w:r>
            <w:proofErr w:type="spellEnd"/>
            <w:r w:rsidRPr="00C94B47">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F90979" w:rsidRPr="00C94B47" w:rsidRDefault="000464F9" w:rsidP="00C94B47">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C94B47" w:rsidRPr="00C94B47" w:rsidRDefault="00C94B47" w:rsidP="00C94B47">
            <w:pPr>
              <w:pStyle w:val="TableParagraph"/>
              <w:numPr>
                <w:ilvl w:val="0"/>
                <w:numId w:val="6"/>
              </w:numPr>
              <w:tabs>
                <w:tab w:val="left" w:pos="457"/>
                <w:tab w:val="left" w:pos="458"/>
              </w:tabs>
              <w:rPr>
                <w:rFonts w:ascii="Arial" w:hAnsi="Arial" w:cs="Arial"/>
                <w:color w:val="000000" w:themeColor="text1"/>
                <w:sz w:val="19"/>
                <w:szCs w:val="19"/>
              </w:rPr>
            </w:pPr>
            <w:r w:rsidRPr="00C94B47">
              <w:rPr>
                <w:rFonts w:ascii="Arial" w:hAnsi="Arial"/>
                <w:color w:val="000000" w:themeColor="text1"/>
                <w:sz w:val="19"/>
                <w:szCs w:val="19"/>
              </w:rPr>
              <w:t>to communicate correctly in the official language, both verbally and in writing,</w:t>
            </w:r>
          </w:p>
          <w:p w:rsidR="00C94B47" w:rsidRPr="00C94B47" w:rsidRDefault="00C94B47" w:rsidP="00C94B47">
            <w:pPr>
              <w:pStyle w:val="TableParagraph"/>
              <w:numPr>
                <w:ilvl w:val="0"/>
                <w:numId w:val="6"/>
              </w:numPr>
              <w:tabs>
                <w:tab w:val="left" w:pos="457"/>
                <w:tab w:val="left" w:pos="458"/>
              </w:tabs>
              <w:rPr>
                <w:rFonts w:ascii="Arial" w:hAnsi="Arial" w:cs="Arial"/>
                <w:color w:val="000000" w:themeColor="text1"/>
                <w:sz w:val="19"/>
                <w:szCs w:val="19"/>
              </w:rPr>
            </w:pPr>
            <w:r w:rsidRPr="00C94B47">
              <w:rPr>
                <w:rFonts w:ascii="Arial" w:hAnsi="Arial"/>
                <w:color w:val="000000" w:themeColor="text1"/>
                <w:sz w:val="19"/>
                <w:szCs w:val="19"/>
              </w:rPr>
              <w:t>to communicate using one world language at least at the B1 level per the Common European Reference Framework,</w:t>
            </w:r>
          </w:p>
          <w:p w:rsidR="00C94B47" w:rsidRPr="00C94B47" w:rsidRDefault="00C94B47" w:rsidP="00C94B47">
            <w:pPr>
              <w:pStyle w:val="TableParagraph"/>
              <w:numPr>
                <w:ilvl w:val="0"/>
                <w:numId w:val="6"/>
              </w:numPr>
              <w:tabs>
                <w:tab w:val="left" w:pos="457"/>
                <w:tab w:val="left" w:pos="458"/>
              </w:tabs>
              <w:rPr>
                <w:rFonts w:ascii="Arial" w:hAnsi="Arial" w:cs="Arial"/>
                <w:color w:val="000000" w:themeColor="text1"/>
                <w:sz w:val="19"/>
                <w:szCs w:val="19"/>
              </w:rPr>
            </w:pPr>
            <w:r w:rsidRPr="00C94B47">
              <w:rPr>
                <w:rFonts w:ascii="Arial" w:hAnsi="Arial"/>
                <w:color w:val="000000" w:themeColor="text1"/>
                <w:sz w:val="19"/>
                <w:szCs w:val="19"/>
              </w:rPr>
              <w:t>to adapt to changing living and working conditions, to work in a team and to take responsibility for assigned tasks,</w:t>
            </w:r>
          </w:p>
          <w:p w:rsidR="00C94B47" w:rsidRPr="00C94B47" w:rsidRDefault="00C94B47" w:rsidP="00C94B47">
            <w:pPr>
              <w:pStyle w:val="TableParagraph"/>
              <w:numPr>
                <w:ilvl w:val="0"/>
                <w:numId w:val="6"/>
              </w:numPr>
              <w:tabs>
                <w:tab w:val="left" w:pos="457"/>
                <w:tab w:val="left" w:pos="458"/>
              </w:tabs>
              <w:rPr>
                <w:rFonts w:ascii="Arial" w:hAnsi="Arial" w:cs="Arial"/>
                <w:color w:val="000000" w:themeColor="text1"/>
                <w:sz w:val="19"/>
                <w:szCs w:val="19"/>
              </w:rPr>
            </w:pPr>
            <w:r w:rsidRPr="00C94B47">
              <w:rPr>
                <w:rFonts w:ascii="Arial" w:hAnsi="Arial"/>
                <w:color w:val="000000" w:themeColor="text1"/>
                <w:sz w:val="19"/>
                <w:szCs w:val="19"/>
              </w:rPr>
              <w:t>to work with information, to use information and communication technologies and equipment,</w:t>
            </w:r>
          </w:p>
          <w:p w:rsidR="00C94B47" w:rsidRPr="00C94B47" w:rsidRDefault="00C94B47" w:rsidP="00C94B47">
            <w:pPr>
              <w:pStyle w:val="TableParagraph"/>
              <w:numPr>
                <w:ilvl w:val="0"/>
                <w:numId w:val="6"/>
              </w:numPr>
              <w:tabs>
                <w:tab w:val="left" w:pos="457"/>
                <w:tab w:val="left" w:pos="458"/>
              </w:tabs>
              <w:rPr>
                <w:rFonts w:ascii="Arial" w:hAnsi="Arial" w:cs="Arial"/>
                <w:color w:val="000000" w:themeColor="text1"/>
                <w:sz w:val="19"/>
                <w:szCs w:val="19"/>
              </w:rPr>
            </w:pPr>
            <w:r w:rsidRPr="00C94B47">
              <w:rPr>
                <w:rFonts w:ascii="Arial" w:hAnsi="Arial"/>
                <w:color w:val="000000" w:themeColor="text1"/>
                <w:sz w:val="19"/>
                <w:szCs w:val="19"/>
              </w:rPr>
              <w:t>to apply basic mathematical relations and the laws of physics and chemistry when resolving practical tasks,</w:t>
            </w:r>
          </w:p>
          <w:p w:rsidR="00C94B47" w:rsidRPr="00C94B47" w:rsidRDefault="00C94B47" w:rsidP="00C94B47">
            <w:pPr>
              <w:pStyle w:val="TableParagraph"/>
              <w:numPr>
                <w:ilvl w:val="0"/>
                <w:numId w:val="6"/>
              </w:numPr>
              <w:tabs>
                <w:tab w:val="left" w:pos="457"/>
                <w:tab w:val="left" w:pos="458"/>
              </w:tabs>
              <w:rPr>
                <w:rFonts w:ascii="Arial" w:hAnsi="Arial" w:cs="Arial"/>
                <w:color w:val="000000" w:themeColor="text1"/>
                <w:sz w:val="19"/>
                <w:szCs w:val="19"/>
              </w:rPr>
            </w:pPr>
            <w:r w:rsidRPr="00C94B47">
              <w:rPr>
                <w:rFonts w:ascii="Arial" w:hAnsi="Arial"/>
                <w:color w:val="000000" w:themeColor="text1"/>
                <w:sz w:val="19"/>
                <w:szCs w:val="19"/>
              </w:rPr>
              <w:t>to apply the principles of financial literacy, consumer protection and to understand business and the world of work,</w:t>
            </w:r>
          </w:p>
          <w:p w:rsidR="00C94B47" w:rsidRPr="00C94B47" w:rsidRDefault="00C94B47" w:rsidP="00C94B47">
            <w:pPr>
              <w:pStyle w:val="TableParagraph"/>
              <w:numPr>
                <w:ilvl w:val="0"/>
                <w:numId w:val="6"/>
              </w:numPr>
              <w:tabs>
                <w:tab w:val="left" w:pos="457"/>
                <w:tab w:val="left" w:pos="458"/>
              </w:tabs>
              <w:rPr>
                <w:rFonts w:ascii="Arial" w:hAnsi="Arial" w:cs="Arial"/>
                <w:color w:val="000000" w:themeColor="text1"/>
                <w:sz w:val="19"/>
                <w:szCs w:val="19"/>
              </w:rPr>
            </w:pPr>
            <w:r w:rsidRPr="00C94B47">
              <w:rPr>
                <w:rFonts w:ascii="Arial" w:hAnsi="Arial"/>
                <w:color w:val="000000" w:themeColor="text1"/>
                <w:sz w:val="19"/>
                <w:szCs w:val="19"/>
              </w:rPr>
              <w:t>to act environmentally with regard to a sustainable development strategy,</w:t>
            </w:r>
          </w:p>
          <w:p w:rsidR="00C94B47" w:rsidRPr="00C94B47" w:rsidRDefault="00C94B47" w:rsidP="00C94B47">
            <w:pPr>
              <w:pStyle w:val="TableParagraph"/>
              <w:numPr>
                <w:ilvl w:val="0"/>
                <w:numId w:val="6"/>
              </w:numPr>
              <w:tabs>
                <w:tab w:val="left" w:pos="456"/>
                <w:tab w:val="left" w:pos="457"/>
              </w:tabs>
              <w:rPr>
                <w:rFonts w:ascii="Arial" w:hAnsi="Arial" w:cs="Arial"/>
                <w:color w:val="000000" w:themeColor="text1"/>
                <w:sz w:val="19"/>
                <w:szCs w:val="19"/>
              </w:rPr>
            </w:pPr>
            <w:r w:rsidRPr="00C94B47">
              <w:rPr>
                <w:rFonts w:ascii="Arial" w:hAnsi="Arial"/>
                <w:color w:val="000000" w:themeColor="text1"/>
                <w:sz w:val="19"/>
                <w:szCs w:val="19"/>
              </w:rPr>
              <w:t>to apply the principles of occupational health and safety and environmental protection,</w:t>
            </w:r>
          </w:p>
          <w:p w:rsidR="00C94B47" w:rsidRPr="00C94B47" w:rsidRDefault="00C94B47" w:rsidP="00C94B47">
            <w:pPr>
              <w:numPr>
                <w:ilvl w:val="0"/>
                <w:numId w:val="6"/>
              </w:numPr>
              <w:spacing w:before="0"/>
              <w:jc w:val="both"/>
              <w:rPr>
                <w:iCs/>
                <w:color w:val="000000" w:themeColor="text1"/>
                <w:sz w:val="19"/>
                <w:szCs w:val="19"/>
              </w:rPr>
            </w:pPr>
            <w:r w:rsidRPr="00C94B47">
              <w:rPr>
                <w:iCs/>
                <w:color w:val="000000" w:themeColor="text1"/>
                <w:sz w:val="19"/>
                <w:szCs w:val="19"/>
              </w:rPr>
              <w:t>to read technical drawings, diagrams, work tutorials, to understand technical documentation, standards, regulations and to keep operational-technical documentation of energy equipment, use software for creating technical and technological documentation,</w:t>
            </w:r>
          </w:p>
          <w:p w:rsidR="00C94B47" w:rsidRPr="00C94B47" w:rsidRDefault="00C94B47" w:rsidP="00C94B47">
            <w:pPr>
              <w:pStyle w:val="TableParagraph"/>
              <w:numPr>
                <w:ilvl w:val="0"/>
                <w:numId w:val="6"/>
              </w:numPr>
              <w:tabs>
                <w:tab w:val="left" w:pos="457"/>
                <w:tab w:val="left" w:pos="458"/>
              </w:tabs>
              <w:jc w:val="both"/>
              <w:rPr>
                <w:rFonts w:ascii="Arial" w:hAnsi="Arial" w:cs="Arial"/>
                <w:color w:val="000000" w:themeColor="text1"/>
                <w:sz w:val="19"/>
                <w:szCs w:val="19"/>
              </w:rPr>
            </w:pPr>
            <w:r w:rsidRPr="00C94B47">
              <w:rPr>
                <w:rFonts w:ascii="Arial" w:hAnsi="Arial"/>
                <w:color w:val="000000" w:themeColor="text1"/>
                <w:sz w:val="19"/>
                <w:szCs w:val="19"/>
              </w:rPr>
              <w:t>to select and prepare the necessary tools, devices, machines and devices necessary for a specific technological process and to use them efficiently,</w:t>
            </w:r>
          </w:p>
          <w:p w:rsidR="00C94B47" w:rsidRPr="00C94B47" w:rsidRDefault="00C94B47" w:rsidP="00C94B47">
            <w:pPr>
              <w:numPr>
                <w:ilvl w:val="0"/>
                <w:numId w:val="6"/>
              </w:numPr>
              <w:spacing w:before="0"/>
              <w:jc w:val="both"/>
              <w:rPr>
                <w:iCs/>
                <w:color w:val="000000" w:themeColor="text1"/>
                <w:sz w:val="19"/>
                <w:szCs w:val="19"/>
              </w:rPr>
            </w:pPr>
            <w:r w:rsidRPr="00C94B47">
              <w:rPr>
                <w:iCs/>
                <w:color w:val="000000" w:themeColor="text1"/>
                <w:sz w:val="19"/>
                <w:szCs w:val="19"/>
              </w:rPr>
              <w:t xml:space="preserve">to carry out installation, connecting and refurbishing of </w:t>
            </w:r>
            <w:r w:rsidRPr="00C94B47">
              <w:rPr>
                <w:bCs/>
                <w:color w:val="000000" w:themeColor="text1"/>
                <w:sz w:val="19"/>
                <w:szCs w:val="19"/>
              </w:rPr>
              <w:t>CNC production machines, industrial robots and Manipulators (</w:t>
            </w:r>
            <w:proofErr w:type="spellStart"/>
            <w:r w:rsidRPr="00C94B47">
              <w:rPr>
                <w:bCs/>
                <w:color w:val="000000" w:themeColor="text1"/>
                <w:sz w:val="19"/>
                <w:szCs w:val="19"/>
              </w:rPr>
              <w:t>PRaM</w:t>
            </w:r>
            <w:proofErr w:type="spellEnd"/>
            <w:r w:rsidRPr="00C94B47">
              <w:rPr>
                <w:bCs/>
                <w:color w:val="000000" w:themeColor="text1"/>
                <w:sz w:val="19"/>
                <w:szCs w:val="19"/>
              </w:rPr>
              <w:t>) and lines,</w:t>
            </w:r>
            <w:r w:rsidRPr="00C94B47">
              <w:rPr>
                <w:iCs/>
                <w:color w:val="000000" w:themeColor="text1"/>
                <w:sz w:val="19"/>
                <w:szCs w:val="19"/>
              </w:rPr>
              <w:t xml:space="preserve"> control circuits, controls and other components of mechatronic systems,</w:t>
            </w:r>
          </w:p>
          <w:p w:rsidR="00C94B47" w:rsidRPr="00C94B47" w:rsidRDefault="00C94B47" w:rsidP="00C94B47">
            <w:pPr>
              <w:pStyle w:val="Odsekzoznamu"/>
              <w:widowControl w:val="0"/>
              <w:numPr>
                <w:ilvl w:val="0"/>
                <w:numId w:val="6"/>
              </w:numPr>
              <w:autoSpaceDE w:val="0"/>
              <w:autoSpaceDN w:val="0"/>
              <w:spacing w:after="0" w:line="240" w:lineRule="auto"/>
              <w:contextualSpacing w:val="0"/>
              <w:rPr>
                <w:rFonts w:ascii="Arial" w:eastAsia="FreeSerifItalic" w:hAnsi="Arial" w:cs="Arial"/>
                <w:i/>
                <w:iCs/>
                <w:color w:val="000000" w:themeColor="text1"/>
                <w:sz w:val="19"/>
                <w:szCs w:val="19"/>
              </w:rPr>
            </w:pPr>
            <w:r w:rsidRPr="00C94B47">
              <w:rPr>
                <w:rFonts w:ascii="Arial" w:hAnsi="Arial"/>
                <w:color w:val="000000" w:themeColor="text1"/>
                <w:sz w:val="19"/>
                <w:szCs w:val="19"/>
              </w:rPr>
              <w:t xml:space="preserve">to perform operation, set-up and maintenance of </w:t>
            </w:r>
            <w:r w:rsidRPr="00C94B47">
              <w:rPr>
                <w:rFonts w:ascii="Arial" w:hAnsi="Arial"/>
                <w:bCs/>
                <w:color w:val="000000" w:themeColor="text1"/>
                <w:sz w:val="19"/>
                <w:szCs w:val="19"/>
              </w:rPr>
              <w:t xml:space="preserve">CNC machines, </w:t>
            </w:r>
            <w:r w:rsidRPr="00C94B47">
              <w:rPr>
                <w:rFonts w:ascii="Arial" w:hAnsi="Arial"/>
                <w:color w:val="000000" w:themeColor="text1"/>
                <w:sz w:val="19"/>
                <w:szCs w:val="19"/>
              </w:rPr>
              <w:t>mechanisms and equipment,</w:t>
            </w:r>
          </w:p>
          <w:p w:rsidR="00C94B47" w:rsidRPr="00C94B47" w:rsidRDefault="00C94B47" w:rsidP="00C94B47">
            <w:pPr>
              <w:pStyle w:val="Odsekzoznamu"/>
              <w:numPr>
                <w:ilvl w:val="0"/>
                <w:numId w:val="6"/>
              </w:numPr>
              <w:spacing w:after="0" w:line="240" w:lineRule="auto"/>
              <w:jc w:val="both"/>
              <w:rPr>
                <w:rFonts w:ascii="Arial" w:hAnsi="Arial" w:cs="Arial"/>
                <w:bCs/>
                <w:color w:val="000000" w:themeColor="text1"/>
                <w:sz w:val="19"/>
                <w:szCs w:val="19"/>
              </w:rPr>
            </w:pPr>
            <w:r w:rsidRPr="00C94B47">
              <w:rPr>
                <w:rFonts w:ascii="Arial" w:hAnsi="Arial"/>
                <w:iCs/>
                <w:color w:val="000000" w:themeColor="text1"/>
                <w:sz w:val="19"/>
                <w:szCs w:val="19"/>
              </w:rPr>
              <w:t>to diagnose and repair, set-up control circuits, controls and components of automation and regulation technology and systems</w:t>
            </w:r>
            <w:r w:rsidRPr="00C94B47">
              <w:rPr>
                <w:rFonts w:ascii="Arial" w:hAnsi="Arial"/>
                <w:color w:val="000000" w:themeColor="text1"/>
                <w:sz w:val="19"/>
                <w:szCs w:val="19"/>
              </w:rPr>
              <w:t xml:space="preserve">, </w:t>
            </w:r>
            <w:r w:rsidRPr="00C94B47">
              <w:rPr>
                <w:rFonts w:ascii="Arial" w:hAnsi="Arial"/>
                <w:bCs/>
                <w:color w:val="000000" w:themeColor="text1"/>
                <w:sz w:val="19"/>
                <w:szCs w:val="19"/>
              </w:rPr>
              <w:t xml:space="preserve">hydraulic and pneumatic mechanisms, </w:t>
            </w:r>
          </w:p>
          <w:p w:rsidR="00C94B47" w:rsidRPr="00C94B47" w:rsidRDefault="00C94B47" w:rsidP="00C94B47">
            <w:pPr>
              <w:pStyle w:val="Odsekzoznamu"/>
              <w:widowControl w:val="0"/>
              <w:numPr>
                <w:ilvl w:val="0"/>
                <w:numId w:val="6"/>
              </w:numPr>
              <w:autoSpaceDE w:val="0"/>
              <w:autoSpaceDN w:val="0"/>
              <w:spacing w:after="0" w:line="240" w:lineRule="auto"/>
              <w:contextualSpacing w:val="0"/>
              <w:rPr>
                <w:rFonts w:ascii="Arial" w:eastAsia="FreeSerifItalic" w:hAnsi="Arial" w:cs="Arial"/>
                <w:i/>
                <w:iCs/>
                <w:color w:val="000000" w:themeColor="text1"/>
                <w:sz w:val="19"/>
                <w:szCs w:val="19"/>
              </w:rPr>
            </w:pPr>
            <w:r w:rsidRPr="00C94B47">
              <w:rPr>
                <w:rFonts w:ascii="Arial" w:hAnsi="Arial"/>
                <w:iCs/>
                <w:color w:val="000000" w:themeColor="text1"/>
                <w:sz w:val="19"/>
                <w:szCs w:val="19"/>
              </w:rPr>
              <w:t>to operate computer applications of control systems in production process and to design control program for CNC systems,</w:t>
            </w:r>
          </w:p>
          <w:p w:rsidR="00C94B47" w:rsidRPr="00C94B47" w:rsidRDefault="00C94B47" w:rsidP="00C94B47">
            <w:pPr>
              <w:pStyle w:val="Odsekzoznamu"/>
              <w:widowControl w:val="0"/>
              <w:numPr>
                <w:ilvl w:val="0"/>
                <w:numId w:val="6"/>
              </w:numPr>
              <w:autoSpaceDE w:val="0"/>
              <w:autoSpaceDN w:val="0"/>
              <w:spacing w:after="0" w:line="240" w:lineRule="auto"/>
              <w:contextualSpacing w:val="0"/>
              <w:rPr>
                <w:rFonts w:ascii="Arial" w:hAnsi="Arial" w:cs="Arial"/>
                <w:iCs/>
                <w:color w:val="000000" w:themeColor="text1"/>
                <w:sz w:val="19"/>
                <w:szCs w:val="19"/>
              </w:rPr>
            </w:pPr>
            <w:r w:rsidRPr="00C94B47">
              <w:rPr>
                <w:rFonts w:ascii="Arial" w:hAnsi="Arial"/>
                <w:iCs/>
                <w:color w:val="000000" w:themeColor="text1"/>
                <w:sz w:val="19"/>
                <w:szCs w:val="19"/>
              </w:rPr>
              <w:t>to measure and evaluate measurements of electrical and non-electrical quantities and parameters involved in operation of mechatronic systems,</w:t>
            </w:r>
          </w:p>
          <w:p w:rsidR="00C94B47" w:rsidRPr="00F90979" w:rsidRDefault="00C94B47" w:rsidP="00C94B47">
            <w:pPr>
              <w:pStyle w:val="subtitleblue"/>
              <w:numPr>
                <w:ilvl w:val="0"/>
                <w:numId w:val="6"/>
              </w:numPr>
              <w:tabs>
                <w:tab w:val="clear" w:pos="340"/>
                <w:tab w:val="clear" w:pos="454"/>
                <w:tab w:val="left" w:pos="-1413"/>
              </w:tabs>
              <w:spacing w:before="60"/>
              <w:jc w:val="both"/>
              <w:rPr>
                <w:color w:val="auto"/>
                <w:sz w:val="22"/>
                <w:szCs w:val="22"/>
              </w:rPr>
            </w:pPr>
            <w:r w:rsidRPr="00C94B47">
              <w:rPr>
                <w:color w:val="000000" w:themeColor="text1"/>
                <w:sz w:val="19"/>
                <w:szCs w:val="19"/>
              </w:rPr>
              <w:t>to perform the basic methods of manual and machine processing of materials.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C94B47" w:rsidRPr="00C94B47" w:rsidRDefault="00C94B47" w:rsidP="00C94B47">
            <w:pPr>
              <w:pStyle w:val="Maintext"/>
              <w:tabs>
                <w:tab w:val="left" w:pos="-988"/>
              </w:tabs>
              <w:spacing w:line="240" w:lineRule="auto"/>
              <w:ind w:right="85"/>
              <w:jc w:val="both"/>
              <w:rPr>
                <w:color w:val="auto"/>
                <w:sz w:val="19"/>
                <w:szCs w:val="19"/>
              </w:rPr>
            </w:pPr>
            <w:r w:rsidRPr="00C94B47">
              <w:rPr>
                <w:color w:val="auto"/>
                <w:sz w:val="19"/>
                <w:szCs w:val="19"/>
              </w:rPr>
              <w:t>Graduates find work in providing operation of modern electromechanical, electrohydraulic and other computer controlled mechatronic systems in companies engaged in construction of machines, instruments and equipment falling within the class of mechatronic systems and production of their parts, as well as in testing, service of the systems and complexes.</w:t>
            </w:r>
          </w:p>
          <w:p w:rsidR="009006B7" w:rsidRPr="002762CE" w:rsidRDefault="00C94B47" w:rsidP="00C94B47">
            <w:pPr>
              <w:pStyle w:val="Maintext"/>
              <w:tabs>
                <w:tab w:val="left" w:pos="-988"/>
              </w:tabs>
              <w:spacing w:line="240" w:lineRule="auto"/>
              <w:ind w:right="85"/>
              <w:jc w:val="both"/>
              <w:rPr>
                <w:color w:val="auto"/>
                <w:lang w:val="sk-SK"/>
              </w:rPr>
            </w:pPr>
            <w:r w:rsidRPr="00C94B47">
              <w:rPr>
                <w:color w:val="auto"/>
                <w:sz w:val="19"/>
                <w:szCs w:val="19"/>
              </w:rPr>
              <w:t xml:space="preserve">Examples of potential job titles include mechatronic, </w:t>
            </w:r>
            <w:proofErr w:type="spellStart"/>
            <w:r w:rsidRPr="00C94B47">
              <w:rPr>
                <w:color w:val="auto"/>
                <w:sz w:val="19"/>
                <w:szCs w:val="19"/>
              </w:rPr>
              <w:t>electrotechnician</w:t>
            </w:r>
            <w:proofErr w:type="spellEnd"/>
            <w:r w:rsidRPr="00C94B47">
              <w:rPr>
                <w:color w:val="auto"/>
                <w:sz w:val="19"/>
                <w:szCs w:val="19"/>
              </w:rPr>
              <w:t xml:space="preserve"> in automated production, mechanical engineering technician of automation, mechanic of industrial machines and equipment, assembler of machines and production lines.</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lastRenderedPageBreak/>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2039550182"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2849E3"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2039550182"/>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 xml:space="preserve">Full secondary vocational education </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SKQF/EQF 4</w:t>
            </w:r>
          </w:p>
          <w:p w:rsidR="00936EEA" w:rsidRPr="0083124D" w:rsidRDefault="00F90979" w:rsidP="00F90979">
            <w:pPr>
              <w:pStyle w:val="Maintext"/>
              <w:tabs>
                <w:tab w:val="left" w:pos="-988"/>
              </w:tabs>
              <w:spacing w:before="60" w:after="60" w:line="240" w:lineRule="auto"/>
              <w:ind w:left="284" w:right="87"/>
              <w:rPr>
                <w:color w:val="auto"/>
                <w:sz w:val="19"/>
                <w:szCs w:val="19"/>
              </w:rPr>
            </w:pPr>
            <w:r w:rsidRPr="00F90979">
              <w:rPr>
                <w:color w:val="auto"/>
                <w:sz w:val="19"/>
                <w:szCs w:val="19"/>
              </w:rPr>
              <w:t>ISCED 354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787BEB" w:rsidRPr="00787BEB" w:rsidRDefault="00787BEB" w:rsidP="00787BEB">
            <w:pPr>
              <w:pStyle w:val="Maintext"/>
              <w:tabs>
                <w:tab w:val="left" w:pos="-988"/>
              </w:tabs>
              <w:spacing w:before="60" w:after="60"/>
              <w:ind w:left="284" w:right="87"/>
              <w:rPr>
                <w:color w:val="auto"/>
                <w:sz w:val="19"/>
                <w:szCs w:val="19"/>
              </w:rPr>
            </w:pPr>
            <w:r w:rsidRPr="00787BEB">
              <w:rPr>
                <w:color w:val="auto"/>
                <w:sz w:val="19"/>
                <w:szCs w:val="19"/>
              </w:rPr>
              <w:t>Higher vocational education SKQF/EQF 5, ISCED 554</w:t>
            </w:r>
          </w:p>
          <w:p w:rsidR="00646EBE" w:rsidRPr="0083124D" w:rsidRDefault="00787BEB" w:rsidP="00787BEB">
            <w:pPr>
              <w:pStyle w:val="Maintext"/>
              <w:tabs>
                <w:tab w:val="left" w:pos="-988"/>
              </w:tabs>
              <w:spacing w:before="60" w:after="60" w:line="240" w:lineRule="auto"/>
              <w:ind w:left="284" w:right="87"/>
              <w:rPr>
                <w:color w:val="FF0000"/>
                <w:sz w:val="19"/>
                <w:szCs w:val="19"/>
              </w:rPr>
            </w:pPr>
            <w:r w:rsidRPr="00787BEB">
              <w:rPr>
                <w:color w:val="auto"/>
                <w:sz w:val="19"/>
                <w:szCs w:val="19"/>
              </w:rPr>
              <w:t>University, 1st degree, ISCED 655, 645, 665</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232BBD" w:rsidRPr="00232BBD">
              <w:rPr>
                <w:color w:val="auto"/>
                <w:sz w:val="19"/>
                <w:szCs w:val="19"/>
              </w:rPr>
              <w:t>This Europass Certificate Supplement is valid together with the school leaving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F90979" w:rsidRPr="00F90979" w:rsidRDefault="00F90979" w:rsidP="00F90979">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l</w:t>
            </w:r>
            <w:r w:rsidRPr="00F90979">
              <w:rPr>
                <w:rFonts w:ascii="Arial" w:eastAsia="Liberation Sans Narrow" w:hAnsi="Arial" w:cs="Liberation Sans Narrow"/>
                <w:sz w:val="19"/>
                <w:szCs w:val="19"/>
              </w:rPr>
              <w:t>ower secondary education ISCED 244</w:t>
            </w:r>
          </w:p>
          <w:p w:rsidR="00FA4EE1" w:rsidRPr="009006B7" w:rsidRDefault="00FA4EE1" w:rsidP="009006B7">
            <w:pPr>
              <w:pStyle w:val="Odsekzoznamu"/>
              <w:numPr>
                <w:ilvl w:val="0"/>
                <w:numId w:val="4"/>
              </w:numPr>
              <w:rPr>
                <w:rFonts w:ascii="Arial" w:eastAsia="Liberation Sans Narrow" w:hAnsi="Arial" w:cs="Liberation Sans Narrow"/>
                <w:sz w:val="19"/>
                <w:szCs w:val="19"/>
              </w:rPr>
            </w:pPr>
            <w:r w:rsidRPr="009006B7">
              <w:rPr>
                <w:rFonts w:ascii="Arial" w:hAnsi="Arial"/>
                <w:sz w:val="19"/>
                <w:szCs w:val="19"/>
              </w:rPr>
              <w:t>fulfilment</w:t>
            </w:r>
            <w:r w:rsidRPr="009006B7">
              <w:rPr>
                <w:sz w:val="19"/>
                <w:szCs w:val="19"/>
              </w:rPr>
              <w:t xml:space="preserve"> </w:t>
            </w:r>
            <w:r w:rsidRPr="009006B7">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2849E3"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380EB5" w:rsidP="009D7334">
            <w:pPr>
              <w:pStyle w:val="Maintext"/>
              <w:tabs>
                <w:tab w:val="clear" w:pos="454"/>
                <w:tab w:val="left" w:pos="-988"/>
              </w:tabs>
              <w:spacing w:before="60" w:after="60" w:line="240" w:lineRule="auto"/>
              <w:ind w:left="185" w:right="85"/>
              <w:jc w:val="both"/>
              <w:rPr>
                <w:noProof/>
                <w:color w:val="auto"/>
              </w:rPr>
            </w:pPr>
            <w:r w:rsidRPr="00052155">
              <w:rPr>
                <w:noProof/>
                <w:lang w:val="sk-SK" w:eastAsia="sk-SK"/>
              </w:rPr>
              <w:drawing>
                <wp:anchor distT="0" distB="0" distL="114300" distR="114300" simplePos="0" relativeHeight="251662848" behindDoc="0" locked="0" layoutInCell="1" allowOverlap="1">
                  <wp:simplePos x="0" y="0"/>
                  <wp:positionH relativeFrom="column">
                    <wp:posOffset>3597275</wp:posOffset>
                  </wp:positionH>
                  <wp:positionV relativeFrom="paragraph">
                    <wp:posOffset>-233045</wp:posOffset>
                  </wp:positionV>
                  <wp:extent cx="1309106" cy="125280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106"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155" w:rsidRPr="00052155">
              <w:rPr>
                <w:noProof/>
                <w:lang w:val="sk-SK" w:eastAsia="sk-SK"/>
              </w:rPr>
              <w:drawing>
                <wp:anchor distT="0" distB="0" distL="114300" distR="114300" simplePos="0" relativeHeight="251661824" behindDoc="0" locked="0" layoutInCell="1" allowOverlap="1">
                  <wp:simplePos x="0" y="0"/>
                  <wp:positionH relativeFrom="column">
                    <wp:posOffset>2080895</wp:posOffset>
                  </wp:positionH>
                  <wp:positionV relativeFrom="paragraph">
                    <wp:posOffset>-194945</wp:posOffset>
                  </wp:positionV>
                  <wp:extent cx="1589739" cy="125280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739"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2849E3"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2849E3"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E3" w:rsidRDefault="002849E3" w:rsidP="009565F2">
      <w:r>
        <w:separator/>
      </w:r>
    </w:p>
  </w:endnote>
  <w:endnote w:type="continuationSeparator" w:id="0">
    <w:p w:rsidR="002849E3" w:rsidRDefault="002849E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FreeSerif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380EB5">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E3" w:rsidRPr="007A4572" w:rsidRDefault="002849E3" w:rsidP="009565F2">
      <w:pPr>
        <w:rPr>
          <w:color w:val="FFFFFF"/>
        </w:rPr>
      </w:pPr>
    </w:p>
  </w:footnote>
  <w:footnote w:type="continuationSeparator" w:id="0">
    <w:p w:rsidR="002849E3" w:rsidRDefault="002849E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fKKFudLf4wFDblb2NBrUyBJiXOX9GWAk5ym3mehd52qAyTcf6bRfdZTECKp1Hv63m5HULEUx0jRTtuFk66vQPQ==" w:salt="O6jUkpAOAy5feFTXEZWI2g=="/>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2155"/>
    <w:rsid w:val="00057855"/>
    <w:rsid w:val="00076646"/>
    <w:rsid w:val="0008048B"/>
    <w:rsid w:val="00090F88"/>
    <w:rsid w:val="00091E65"/>
    <w:rsid w:val="00094139"/>
    <w:rsid w:val="00096621"/>
    <w:rsid w:val="000A6B01"/>
    <w:rsid w:val="000A796C"/>
    <w:rsid w:val="000B0675"/>
    <w:rsid w:val="000B7C40"/>
    <w:rsid w:val="000B7F6E"/>
    <w:rsid w:val="000C0989"/>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32BBD"/>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9E3"/>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0EB5"/>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87BEB"/>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4B47"/>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B109-6925-43F2-8BCA-9B4F97A9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811</Words>
  <Characters>4624</Characters>
  <Application>Microsoft Office Word</Application>
  <DocSecurity>8</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5425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10</cp:revision>
  <cp:lastPrinted>2020-06-12T06:21:00Z</cp:lastPrinted>
  <dcterms:created xsi:type="dcterms:W3CDTF">2020-08-13T09:53:00Z</dcterms:created>
  <dcterms:modified xsi:type="dcterms:W3CDTF">2020-11-23T10:09:00Z</dcterms:modified>
</cp:coreProperties>
</file>