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254804" w:rsidP="009006B7">
            <w:pPr>
              <w:pStyle w:val="Maintext"/>
              <w:tabs>
                <w:tab w:val="left" w:pos="-1271"/>
              </w:tabs>
              <w:spacing w:before="120" w:after="120"/>
              <w:rPr>
                <w:color w:val="auto"/>
                <w:sz w:val="22"/>
                <w:szCs w:val="16"/>
              </w:rPr>
            </w:pPr>
            <w:r w:rsidRPr="00254804">
              <w:rPr>
                <w:color w:val="auto"/>
                <w:sz w:val="22"/>
                <w:szCs w:val="16"/>
              </w:rPr>
              <w:t>Field of study 7646 M educational care activity</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254804"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254804">
              <w:rPr>
                <w:color w:val="auto"/>
                <w:sz w:val="22"/>
                <w:szCs w:val="16"/>
              </w:rPr>
              <w:t>Študijný</w:t>
            </w:r>
            <w:proofErr w:type="spellEnd"/>
            <w:r w:rsidRPr="00254804">
              <w:rPr>
                <w:color w:val="auto"/>
                <w:sz w:val="22"/>
                <w:szCs w:val="16"/>
              </w:rPr>
              <w:t xml:space="preserve"> </w:t>
            </w:r>
            <w:proofErr w:type="spellStart"/>
            <w:r w:rsidRPr="00254804">
              <w:rPr>
                <w:color w:val="auto"/>
                <w:sz w:val="22"/>
                <w:szCs w:val="16"/>
              </w:rPr>
              <w:t>odbor</w:t>
            </w:r>
            <w:proofErr w:type="spellEnd"/>
            <w:r w:rsidRPr="00254804">
              <w:rPr>
                <w:color w:val="auto"/>
                <w:sz w:val="22"/>
                <w:szCs w:val="16"/>
              </w:rPr>
              <w:t xml:space="preserve"> 7646 M </w:t>
            </w:r>
            <w:proofErr w:type="spellStart"/>
            <w:r w:rsidRPr="00254804">
              <w:rPr>
                <w:color w:val="auto"/>
                <w:sz w:val="22"/>
                <w:szCs w:val="16"/>
              </w:rPr>
              <w:t>vychovávateľsko-opatrovateľská</w:t>
            </w:r>
            <w:proofErr w:type="spellEnd"/>
            <w:r w:rsidRPr="00254804">
              <w:rPr>
                <w:color w:val="auto"/>
                <w:sz w:val="22"/>
                <w:szCs w:val="16"/>
              </w:rPr>
              <w:t xml:space="preserve"> </w:t>
            </w:r>
            <w:proofErr w:type="spellStart"/>
            <w:r w:rsidRPr="00254804">
              <w:rPr>
                <w:color w:val="auto"/>
                <w:sz w:val="22"/>
                <w:szCs w:val="16"/>
              </w:rPr>
              <w:t>činnosť</w:t>
            </w:r>
            <w:proofErr w:type="spellEnd"/>
            <w:r w:rsidRPr="00254804">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254804" w:rsidRPr="00254804" w:rsidRDefault="009006B7" w:rsidP="00254804">
            <w:pPr>
              <w:pStyle w:val="subtitleblue"/>
              <w:numPr>
                <w:ilvl w:val="0"/>
                <w:numId w:val="6"/>
              </w:numPr>
              <w:tabs>
                <w:tab w:val="clear" w:pos="454"/>
                <w:tab w:val="left" w:pos="-1413"/>
              </w:tabs>
              <w:spacing w:before="60"/>
              <w:ind w:left="1134" w:hanging="283"/>
              <w:jc w:val="both"/>
              <w:rPr>
                <w:color w:val="auto"/>
                <w:sz w:val="19"/>
                <w:szCs w:val="19"/>
              </w:rPr>
            </w:pPr>
            <w:r w:rsidRPr="009006B7">
              <w:rPr>
                <w:color w:val="auto"/>
                <w:sz w:val="19"/>
                <w:szCs w:val="19"/>
              </w:rPr>
              <w:t xml:space="preserve">to </w:t>
            </w:r>
            <w:r w:rsidR="00254804" w:rsidRPr="00254804">
              <w:rPr>
                <w:color w:val="auto"/>
                <w:sz w:val="19"/>
                <w:szCs w:val="19"/>
              </w:rPr>
              <w:t>communicate correctly in the official language, both verbally and in writing,</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communicate using one world language at least at the B1 level per the Common European Reference Framework,</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adapt to changing living and working conditions, to work in a team and to take responsibility for assigned tasks,</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work with information, to use information and communication technologies and equipment,</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 xml:space="preserve">to apply the principles of financial literacy, </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act environmentally with regard to a sustainable development strategy,</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apply basic legal rules, the principles of occupational health and safety and environmental protection,</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provide basic first aid in response to accidents, small injuries and life-threatening conditions,</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apply knowledge from pedagogy and psychology into practice,</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plan and carry out educational work in school educational institution under the responsibility of experienced pedagogue from practice,</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solve problems of educational work in school educational institutions and in social service institutions,</w:t>
            </w:r>
          </w:p>
          <w:p w:rsidR="00254804" w:rsidRPr="00254804" w:rsidRDefault="00254804" w:rsidP="00254804">
            <w:pPr>
              <w:pStyle w:val="subtitleblue"/>
              <w:numPr>
                <w:ilvl w:val="0"/>
                <w:numId w:val="6"/>
              </w:numPr>
              <w:tabs>
                <w:tab w:val="clear" w:pos="454"/>
                <w:tab w:val="left" w:pos="-1413"/>
              </w:tabs>
              <w:spacing w:before="60"/>
              <w:ind w:left="1134" w:hanging="283"/>
              <w:rPr>
                <w:color w:val="auto"/>
                <w:sz w:val="19"/>
                <w:szCs w:val="19"/>
              </w:rPr>
            </w:pPr>
            <w:r w:rsidRPr="00254804">
              <w:rPr>
                <w:color w:val="auto"/>
                <w:sz w:val="19"/>
                <w:szCs w:val="19"/>
              </w:rPr>
              <w:t>to handle integration of socially disadvantaged or disabled children/students/clients,</w:t>
            </w:r>
          </w:p>
          <w:p w:rsidR="00254804" w:rsidRPr="00254804" w:rsidRDefault="00254804" w:rsidP="00254804">
            <w:pPr>
              <w:pStyle w:val="subtitleblue"/>
              <w:numPr>
                <w:ilvl w:val="0"/>
                <w:numId w:val="6"/>
              </w:numPr>
              <w:tabs>
                <w:tab w:val="clear" w:pos="454"/>
                <w:tab w:val="left" w:pos="-1413"/>
              </w:tabs>
              <w:spacing w:before="60"/>
              <w:ind w:left="1134" w:hanging="283"/>
              <w:rPr>
                <w:color w:val="auto"/>
                <w:sz w:val="19"/>
                <w:szCs w:val="19"/>
              </w:rPr>
            </w:pPr>
            <w:r w:rsidRPr="00254804">
              <w:rPr>
                <w:color w:val="auto"/>
                <w:sz w:val="19"/>
                <w:szCs w:val="19"/>
              </w:rPr>
              <w:t>to apply content, methods, forms, means of music education, arts, physical education, work education, aesthetic education, prosocial education, ethical education, intellectual education, environmental education in the subject areas of the school educational institution’s educational programme,</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develop effective means of learning of children, to develop autonomy of children in preparation for the school courses in the school club,</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select and use forms and methods aimed at carrying out leisure activities in school educational institutions,</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provide nursing care for the client independently in the scope determined by applicable regulations of the Ministry of Labour, Social Affairs and Family of the Slovak Republic,</w:t>
            </w:r>
          </w:p>
          <w:p w:rsidR="00254804" w:rsidRPr="00254804" w:rsidRDefault="00254804" w:rsidP="00254804">
            <w:pPr>
              <w:pStyle w:val="subtitleblue"/>
              <w:numPr>
                <w:ilvl w:val="0"/>
                <w:numId w:val="6"/>
              </w:numPr>
              <w:tabs>
                <w:tab w:val="clear" w:pos="454"/>
                <w:tab w:val="left" w:pos="-1413"/>
              </w:tabs>
              <w:spacing w:before="60"/>
              <w:ind w:left="1134" w:hanging="283"/>
              <w:rPr>
                <w:color w:val="auto"/>
                <w:sz w:val="19"/>
                <w:szCs w:val="19"/>
              </w:rPr>
            </w:pPr>
            <w:r w:rsidRPr="00254804">
              <w:rPr>
                <w:color w:val="auto"/>
                <w:sz w:val="19"/>
                <w:szCs w:val="19"/>
              </w:rPr>
              <w:t>to prepare and carry out nursing service plan in the household of a citizen and individual plan of nursing service in social service institutions,</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solve problems of leisure activities of clients in social service institutions,</w:t>
            </w:r>
          </w:p>
          <w:p w:rsidR="00254804" w:rsidRPr="00254804" w:rsidRDefault="00254804" w:rsidP="00254804">
            <w:pPr>
              <w:pStyle w:val="subtitleblue"/>
              <w:numPr>
                <w:ilvl w:val="0"/>
                <w:numId w:val="6"/>
              </w:numPr>
              <w:tabs>
                <w:tab w:val="clear" w:pos="454"/>
                <w:tab w:val="left" w:pos="-1413"/>
              </w:tabs>
              <w:spacing w:before="60"/>
              <w:ind w:left="1134" w:hanging="283"/>
              <w:jc w:val="both"/>
              <w:rPr>
                <w:color w:val="auto"/>
                <w:sz w:val="19"/>
                <w:szCs w:val="19"/>
              </w:rPr>
            </w:pPr>
            <w:r w:rsidRPr="00254804">
              <w:rPr>
                <w:color w:val="auto"/>
                <w:sz w:val="19"/>
                <w:szCs w:val="19"/>
              </w:rPr>
              <w:t>to cooperate with specialists from educational, advisory, health and social institutions,</w:t>
            </w:r>
          </w:p>
          <w:p w:rsidR="00254804" w:rsidRPr="00254804" w:rsidRDefault="00254804" w:rsidP="00254804">
            <w:pPr>
              <w:pStyle w:val="subtitleblue"/>
              <w:numPr>
                <w:ilvl w:val="0"/>
                <w:numId w:val="6"/>
              </w:numPr>
              <w:tabs>
                <w:tab w:val="clear" w:pos="340"/>
                <w:tab w:val="clear" w:pos="454"/>
                <w:tab w:val="left" w:pos="-1413"/>
              </w:tabs>
              <w:spacing w:before="60"/>
              <w:ind w:left="1134" w:hanging="283"/>
              <w:jc w:val="both"/>
              <w:rPr>
                <w:color w:val="auto"/>
                <w:sz w:val="22"/>
                <w:szCs w:val="22"/>
              </w:rPr>
            </w:pPr>
            <w:r w:rsidRPr="00254804">
              <w:rPr>
                <w:color w:val="auto"/>
                <w:sz w:val="19"/>
                <w:szCs w:val="19"/>
              </w:rPr>
              <w:t>to exercise and protect children's and client’s rights.</w:t>
            </w:r>
          </w:p>
          <w:p w:rsidR="00254804" w:rsidRDefault="00254804" w:rsidP="00254804">
            <w:pPr>
              <w:pStyle w:val="subtitleblue"/>
              <w:tabs>
                <w:tab w:val="clear" w:pos="340"/>
                <w:tab w:val="clear" w:pos="454"/>
                <w:tab w:val="left" w:pos="-1413"/>
              </w:tabs>
              <w:spacing w:before="60"/>
              <w:jc w:val="both"/>
              <w:rPr>
                <w:color w:val="auto"/>
                <w:sz w:val="22"/>
                <w:szCs w:val="22"/>
              </w:rPr>
            </w:pPr>
          </w:p>
          <w:p w:rsidR="00254804" w:rsidRPr="00254804" w:rsidRDefault="00254804" w:rsidP="00254804">
            <w:pPr>
              <w:pStyle w:val="subtitleblue"/>
              <w:tabs>
                <w:tab w:val="clear" w:pos="340"/>
                <w:tab w:val="clear" w:pos="454"/>
                <w:tab w:val="left" w:pos="-1413"/>
              </w:tabs>
              <w:spacing w:before="60"/>
              <w:jc w:val="both"/>
              <w:rPr>
                <w:color w:val="auto"/>
                <w:sz w:val="22"/>
                <w:szCs w:val="22"/>
              </w:rPr>
            </w:pP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lastRenderedPageBreak/>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254804" w:rsidRPr="00254804" w:rsidRDefault="00254804" w:rsidP="00254804">
            <w:pPr>
              <w:pStyle w:val="Maintext"/>
              <w:tabs>
                <w:tab w:val="left" w:pos="-988"/>
              </w:tabs>
              <w:ind w:right="87"/>
              <w:jc w:val="both"/>
              <w:rPr>
                <w:color w:val="auto"/>
                <w:sz w:val="19"/>
                <w:szCs w:val="19"/>
              </w:rPr>
            </w:pPr>
            <w:r w:rsidRPr="00254804">
              <w:rPr>
                <w:color w:val="auto"/>
                <w:sz w:val="19"/>
                <w:szCs w:val="19"/>
              </w:rPr>
              <w:t>Graduates find work in professions and job titles in education outside school hours, in nursing and social care.</w:t>
            </w:r>
          </w:p>
          <w:p w:rsidR="00254804" w:rsidRPr="00254804" w:rsidRDefault="00254804" w:rsidP="00254804">
            <w:pPr>
              <w:pStyle w:val="Maintext"/>
              <w:tabs>
                <w:tab w:val="left" w:pos="-988"/>
              </w:tabs>
              <w:ind w:right="87"/>
              <w:jc w:val="both"/>
              <w:rPr>
                <w:color w:val="auto"/>
                <w:sz w:val="19"/>
                <w:szCs w:val="19"/>
              </w:rPr>
            </w:pPr>
            <w:r w:rsidRPr="00254804">
              <w:rPr>
                <w:color w:val="auto"/>
                <w:sz w:val="19"/>
                <w:szCs w:val="19"/>
              </w:rPr>
              <w:t xml:space="preserve">Examples of potential job titles include educator in school educational institution, educator </w:t>
            </w:r>
          </w:p>
          <w:p w:rsidR="009006B7" w:rsidRPr="002762CE" w:rsidRDefault="00254804" w:rsidP="00254804">
            <w:pPr>
              <w:pStyle w:val="Maintext"/>
              <w:tabs>
                <w:tab w:val="left" w:pos="-988"/>
              </w:tabs>
              <w:spacing w:before="60" w:after="60" w:line="240" w:lineRule="auto"/>
              <w:ind w:right="87"/>
              <w:jc w:val="both"/>
              <w:rPr>
                <w:color w:val="auto"/>
                <w:lang w:val="sk-SK"/>
              </w:rPr>
            </w:pPr>
            <w:r w:rsidRPr="00254804">
              <w:rPr>
                <w:color w:val="auto"/>
                <w:sz w:val="19"/>
                <w:szCs w:val="19"/>
              </w:rPr>
              <w:t>in social assistance institutions, caregiver in household, caregiver in social services institutions.</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289364153"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1B6650"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289364153"/>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 xml:space="preserve">Full secondary vocational education </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SKQF/EQF 4</w:t>
            </w:r>
          </w:p>
          <w:p w:rsidR="00936EEA" w:rsidRPr="0083124D" w:rsidRDefault="00F90979" w:rsidP="00F90979">
            <w:pPr>
              <w:pStyle w:val="Maintext"/>
              <w:tabs>
                <w:tab w:val="left" w:pos="-988"/>
              </w:tabs>
              <w:spacing w:before="60" w:after="60" w:line="240" w:lineRule="auto"/>
              <w:ind w:left="284" w:right="87"/>
              <w:rPr>
                <w:color w:val="auto"/>
                <w:sz w:val="19"/>
                <w:szCs w:val="19"/>
              </w:rPr>
            </w:pPr>
            <w:r w:rsidRPr="00F90979">
              <w:rPr>
                <w:color w:val="auto"/>
                <w:sz w:val="19"/>
                <w:szCs w:val="19"/>
              </w:rPr>
              <w:t>ISCED 354</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254804">
            <w:pPr>
              <w:pStyle w:val="Maintext"/>
              <w:tabs>
                <w:tab w:val="left" w:pos="-988"/>
              </w:tabs>
              <w:spacing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254804">
            <w:pPr>
              <w:pStyle w:val="Maintext"/>
              <w:tabs>
                <w:tab w:val="left" w:pos="-988"/>
              </w:tabs>
              <w:spacing w:line="240" w:lineRule="auto"/>
              <w:ind w:left="136" w:right="85"/>
              <w:rPr>
                <w:color w:val="auto"/>
                <w:sz w:val="19"/>
                <w:szCs w:val="19"/>
              </w:rPr>
            </w:pPr>
            <w:r>
              <w:rPr>
                <w:color w:val="auto"/>
                <w:sz w:val="19"/>
                <w:szCs w:val="19"/>
              </w:rPr>
              <w:t xml:space="preserve">   2 – praiseworthy</w:t>
            </w:r>
          </w:p>
          <w:p w:rsidR="007A6D81" w:rsidRPr="0083124D" w:rsidRDefault="007A6D81" w:rsidP="00254804">
            <w:pPr>
              <w:pStyle w:val="Maintext"/>
              <w:tabs>
                <w:tab w:val="left" w:pos="-988"/>
              </w:tabs>
              <w:spacing w:line="240" w:lineRule="auto"/>
              <w:ind w:left="136" w:right="85"/>
              <w:rPr>
                <w:color w:val="auto"/>
                <w:sz w:val="19"/>
                <w:szCs w:val="19"/>
              </w:rPr>
            </w:pPr>
            <w:r>
              <w:rPr>
                <w:color w:val="auto"/>
                <w:sz w:val="19"/>
                <w:szCs w:val="19"/>
              </w:rPr>
              <w:t xml:space="preserve">   3 – good</w:t>
            </w:r>
          </w:p>
          <w:p w:rsidR="007A6D81" w:rsidRPr="0083124D" w:rsidRDefault="007A6D81" w:rsidP="00254804">
            <w:pPr>
              <w:pStyle w:val="Maintext"/>
              <w:tabs>
                <w:tab w:val="left" w:pos="-988"/>
              </w:tabs>
              <w:spacing w:line="240" w:lineRule="auto"/>
              <w:ind w:left="136" w:right="85"/>
              <w:rPr>
                <w:color w:val="auto"/>
                <w:sz w:val="19"/>
                <w:szCs w:val="19"/>
              </w:rPr>
            </w:pPr>
            <w:r>
              <w:rPr>
                <w:color w:val="auto"/>
                <w:sz w:val="19"/>
                <w:szCs w:val="19"/>
              </w:rPr>
              <w:t xml:space="preserve">   4 – sufficient</w:t>
            </w:r>
          </w:p>
          <w:p w:rsidR="00027CA3" w:rsidRPr="0083124D" w:rsidRDefault="007A6D81" w:rsidP="00254804">
            <w:pPr>
              <w:pStyle w:val="Maintext"/>
              <w:tabs>
                <w:tab w:val="left" w:pos="-988"/>
              </w:tabs>
              <w:spacing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F90979" w:rsidRDefault="00F90979" w:rsidP="009D7334">
            <w:pPr>
              <w:pStyle w:val="Maintext"/>
              <w:tabs>
                <w:tab w:val="left" w:pos="-988"/>
              </w:tabs>
              <w:spacing w:before="60" w:after="60" w:line="240" w:lineRule="auto"/>
              <w:ind w:left="284" w:right="87"/>
              <w:rPr>
                <w:color w:val="auto"/>
                <w:sz w:val="19"/>
                <w:szCs w:val="19"/>
              </w:rPr>
            </w:pPr>
            <w:r w:rsidRPr="00F90979">
              <w:rPr>
                <w:color w:val="auto"/>
                <w:sz w:val="19"/>
                <w:szCs w:val="19"/>
              </w:rPr>
              <w:t>Higher vocational education</w:t>
            </w:r>
            <w:r>
              <w:rPr>
                <w:color w:val="auto"/>
                <w:sz w:val="19"/>
                <w:szCs w:val="19"/>
              </w:rPr>
              <w:t xml:space="preserve">, </w:t>
            </w:r>
            <w:r w:rsidRPr="00F90979">
              <w:rPr>
                <w:color w:val="auto"/>
                <w:sz w:val="19"/>
                <w:szCs w:val="19"/>
              </w:rPr>
              <w:t>ISCED 554</w:t>
            </w:r>
          </w:p>
          <w:p w:rsidR="00FA4EE1" w:rsidRPr="0083124D" w:rsidRDefault="002073FB" w:rsidP="009D7334">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9D7334">
            <w:pPr>
              <w:pStyle w:val="Maintext"/>
              <w:tabs>
                <w:tab w:val="left" w:pos="-988"/>
              </w:tabs>
              <w:spacing w:before="60" w:after="60" w:line="240" w:lineRule="auto"/>
              <w:ind w:left="284" w:right="87"/>
              <w:rPr>
                <w:color w:val="FF0000"/>
                <w:sz w:val="19"/>
                <w:szCs w:val="19"/>
              </w:rPr>
            </w:pPr>
            <w:r>
              <w:rPr>
                <w:color w:val="auto"/>
                <w:sz w:val="19"/>
                <w:szCs w:val="19"/>
              </w:rPr>
              <w:t>University, 2nd degree, ISCED 766</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F90979" w:rsidRPr="00F90979" w:rsidRDefault="00F90979" w:rsidP="00F90979">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l</w:t>
            </w:r>
            <w:r w:rsidRPr="00F90979">
              <w:rPr>
                <w:rFonts w:ascii="Arial" w:eastAsia="Liberation Sans Narrow" w:hAnsi="Arial" w:cs="Liberation Sans Narrow"/>
                <w:sz w:val="19"/>
                <w:szCs w:val="19"/>
              </w:rPr>
              <w:t>ower secondary education ISCED 244</w:t>
            </w:r>
          </w:p>
          <w:p w:rsidR="00FA4EE1" w:rsidRPr="009006B7" w:rsidRDefault="00FA4EE1" w:rsidP="009006B7">
            <w:pPr>
              <w:pStyle w:val="Odsekzoznamu"/>
              <w:numPr>
                <w:ilvl w:val="0"/>
                <w:numId w:val="4"/>
              </w:numPr>
              <w:rPr>
                <w:rFonts w:ascii="Arial" w:eastAsia="Liberation Sans Narrow" w:hAnsi="Arial" w:cs="Liberation Sans Narrow"/>
                <w:sz w:val="19"/>
                <w:szCs w:val="19"/>
              </w:rPr>
            </w:pPr>
            <w:r w:rsidRPr="009006B7">
              <w:rPr>
                <w:rFonts w:ascii="Arial" w:hAnsi="Arial"/>
                <w:sz w:val="19"/>
                <w:szCs w:val="19"/>
              </w:rPr>
              <w:t>fulfilment</w:t>
            </w:r>
            <w:r w:rsidRPr="009006B7">
              <w:rPr>
                <w:sz w:val="19"/>
                <w:szCs w:val="19"/>
              </w:rPr>
              <w:t xml:space="preserve"> </w:t>
            </w:r>
            <w:r w:rsidRPr="009006B7">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1B6650"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D53AC7" w:rsidP="009D7334">
            <w:pPr>
              <w:pStyle w:val="Maintext"/>
              <w:tabs>
                <w:tab w:val="clear" w:pos="454"/>
                <w:tab w:val="left" w:pos="-988"/>
              </w:tabs>
              <w:spacing w:before="60" w:after="60" w:line="240" w:lineRule="auto"/>
              <w:ind w:left="185" w:right="85"/>
              <w:jc w:val="both"/>
              <w:rPr>
                <w:noProof/>
                <w:color w:val="auto"/>
              </w:rPr>
            </w:pPr>
            <w:r>
              <w:rPr>
                <w:noProof/>
                <w:lang w:val="sk-SK" w:eastAsia="sk-SK"/>
              </w:rPr>
              <w:drawing>
                <wp:anchor distT="0" distB="0" distL="114300" distR="114300" simplePos="0" relativeHeight="251662848" behindDoc="0" locked="0" layoutInCell="1" allowOverlap="1">
                  <wp:simplePos x="0" y="0"/>
                  <wp:positionH relativeFrom="column">
                    <wp:posOffset>4100195</wp:posOffset>
                  </wp:positionH>
                  <wp:positionV relativeFrom="paragraph">
                    <wp:posOffset>-210185</wp:posOffset>
                  </wp:positionV>
                  <wp:extent cx="1584960" cy="1249045"/>
                  <wp:effectExtent l="0" t="0" r="0" b="825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0" cy="1249045"/>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824" behindDoc="0" locked="0" layoutInCell="1" allowOverlap="1">
                  <wp:simplePos x="0" y="0"/>
                  <wp:positionH relativeFrom="column">
                    <wp:posOffset>2667635</wp:posOffset>
                  </wp:positionH>
                  <wp:positionV relativeFrom="paragraph">
                    <wp:posOffset>-255905</wp:posOffset>
                  </wp:positionV>
                  <wp:extent cx="1419225" cy="1352550"/>
                  <wp:effectExtent l="0" t="0" r="9525"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dpis_riaditela.png"/>
                          <pic:cNvPicPr/>
                        </pic:nvPicPr>
                        <pic:blipFill>
                          <a:blip r:embed="rId12">
                            <a:extLst>
                              <a:ext uri="{28A0092B-C50C-407E-A947-70E740481C1C}">
                                <a14:useLocalDpi xmlns:a14="http://schemas.microsoft.com/office/drawing/2010/main" val="0"/>
                              </a:ext>
                            </a:extLst>
                          </a:blip>
                          <a:stretch>
                            <a:fillRect/>
                          </a:stretch>
                        </pic:blipFill>
                        <pic:spPr>
                          <a:xfrm>
                            <a:off x="0" y="0"/>
                            <a:ext cx="1419225" cy="1352550"/>
                          </a:xfrm>
                          <a:prstGeom prst="rect">
                            <a:avLst/>
                          </a:prstGeom>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1B6650"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1B6650"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50" w:rsidRDefault="001B6650" w:rsidP="009565F2">
      <w:r>
        <w:separator/>
      </w:r>
    </w:p>
  </w:endnote>
  <w:endnote w:type="continuationSeparator" w:id="0">
    <w:p w:rsidR="001B6650" w:rsidRDefault="001B6650"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D53AC7">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50" w:rsidRPr="007A4572" w:rsidRDefault="001B6650" w:rsidP="009565F2">
      <w:pPr>
        <w:rPr>
          <w:color w:val="FFFFFF"/>
        </w:rPr>
      </w:pPr>
    </w:p>
  </w:footnote>
  <w:footnote w:type="continuationSeparator" w:id="0">
    <w:p w:rsidR="001B6650" w:rsidRDefault="001B6650"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HhB7tBi5i1jDt1NpBy6qRNsy4G4D1R0/vY+qVDSanhnIaaLLmExxoKLHAHit9qbXtYcNmLRKJsF7t49lCp2Dvw==" w:salt="MPWGdHaK6tzRl8W2QEsxDA=="/>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B6650"/>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54804"/>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D765D"/>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53AC7"/>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C7BF-113D-4B12-9299-1FF4BF14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761</Words>
  <Characters>4338</Characters>
  <Application>Microsoft Office Word</Application>
  <DocSecurity>8</DocSecurity>
  <Lines>36</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5089</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7</cp:revision>
  <cp:lastPrinted>2020-06-12T06:21:00Z</cp:lastPrinted>
  <dcterms:created xsi:type="dcterms:W3CDTF">2020-08-13T09:53:00Z</dcterms:created>
  <dcterms:modified xsi:type="dcterms:W3CDTF">2020-10-26T15:44:00Z</dcterms:modified>
</cp:coreProperties>
</file>