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7716796D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AC6C74">
              <w:rPr>
                <w:sz w:val="24"/>
                <w:lang w:val="sk-SK"/>
              </w:rPr>
              <w:t>64</w:t>
            </w:r>
            <w:r w:rsidR="00831B34">
              <w:rPr>
                <w:sz w:val="24"/>
                <w:lang w:val="sk-SK"/>
              </w:rPr>
              <w:t>46</w:t>
            </w:r>
            <w:r w:rsidR="00AC6C74">
              <w:rPr>
                <w:sz w:val="24"/>
                <w:lang w:val="sk-SK"/>
              </w:rPr>
              <w:t xml:space="preserve"> K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831B34">
              <w:rPr>
                <w:sz w:val="24"/>
                <w:lang w:val="sk-SK"/>
              </w:rPr>
              <w:t>Kozmetik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643241E2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AC6C74">
              <w:rPr>
                <w:noProof/>
                <w:sz w:val="24"/>
                <w:lang w:val="sk-SK"/>
              </w:rPr>
              <w:t>64</w:t>
            </w:r>
            <w:r w:rsidR="00831B34">
              <w:rPr>
                <w:noProof/>
                <w:sz w:val="24"/>
                <w:lang w:val="sk-SK"/>
              </w:rPr>
              <w:t>46</w:t>
            </w:r>
            <w:r w:rsidR="00AC6C74">
              <w:rPr>
                <w:noProof/>
                <w:sz w:val="24"/>
                <w:lang w:val="sk-SK"/>
              </w:rPr>
              <w:t xml:space="preserve"> K</w:t>
            </w:r>
            <w:r w:rsidR="00560B22">
              <w:rPr>
                <w:noProof/>
                <w:sz w:val="24"/>
                <w:lang w:val="sk-SK"/>
              </w:rPr>
              <w:t> </w:t>
            </w:r>
            <w:r w:rsidR="00831B34">
              <w:rPr>
                <w:noProof/>
                <w:sz w:val="24"/>
                <w:lang w:val="sk-SK"/>
              </w:rPr>
              <w:t>Cosmetologist</w:t>
            </w:r>
            <w:r w:rsidR="00560B22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2C138E60" w14:textId="343D543E" w:rsidR="00831B34" w:rsidRPr="00F6646F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1E3DF57E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uplatňovať zásady bezpečnosti a ochrany zdravia pri práci, v súlade s hygienickými predpismi v oblasti kozmetických služieb, </w:t>
            </w:r>
          </w:p>
          <w:p w14:paraId="49FF9ABF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postupovať podľa prevádzkového poriadku, princípov dezinfekcie, dezinsekcie, sterilizácie a jej druhov, </w:t>
            </w:r>
          </w:p>
          <w:p w14:paraId="6DE05F29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posúdiť aktuálny stav kvality pokožky,</w:t>
            </w:r>
          </w:p>
          <w:p w14:paraId="53AF9690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určiť typ pleti na základe diagnostiky,</w:t>
            </w:r>
          </w:p>
          <w:p w14:paraId="122FF718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zvoliť pracovný postup v súlade so stavom pokožky a typom pleti,</w:t>
            </w:r>
          </w:p>
          <w:p w14:paraId="552712F5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aplikovať 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peeling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, povrchové a hĺbkové čistenie pleti, </w:t>
            </w:r>
          </w:p>
          <w:p w14:paraId="570F2688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aplikovať vhodné ošetrovacie prípravky,</w:t>
            </w:r>
          </w:p>
          <w:p w14:paraId="7B460DF6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vykonávať práce s kozmetickými prístrojmi (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naparovač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ozonizér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biostimulačný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 laser, 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biotropná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 lampa, depilačný prístroj)</w:t>
            </w:r>
          </w:p>
          <w:p w14:paraId="49929F69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zvoliť a zabezpečiť aplikáciu vhodnej masky, pleťových krémov na ošetrenie pleti v rámci ošetrovacích krokov,</w:t>
            </w:r>
          </w:p>
          <w:p w14:paraId="18FA6187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aplikovať masáž tváre, krku, dekoltu,</w:t>
            </w:r>
          </w:p>
          <w:p w14:paraId="587C3E79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upravovať a farbiť obočie, riasy, aplikovať trvalú na riasy, </w:t>
            </w:r>
          </w:p>
          <w:p w14:paraId="31759E45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zabezpečiť depiláciu hornej, dolnej končatiny, podpazušia, bikiny čiary, chĺpkov nad hornou perou,</w:t>
            </w:r>
          </w:p>
          <w:p w14:paraId="08458FA4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vykonávať líčenie na základe všetkých technologických postupov so zameraním na denné líčenie, večerné líčenie, svadobné líčenie, módne líčenie,</w:t>
            </w:r>
          </w:p>
          <w:p w14:paraId="6FA4407F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uplatňovať </w:t>
            </w:r>
            <w:proofErr w:type="spellStart"/>
            <w:r w:rsidRPr="00831B34">
              <w:rPr>
                <w:color w:val="auto"/>
                <w:sz w:val="19"/>
                <w:szCs w:val="19"/>
                <w:lang w:val="sk-SK"/>
              </w:rPr>
              <w:t>vizážistické</w:t>
            </w:r>
            <w:proofErr w:type="spellEnd"/>
            <w:r w:rsidRPr="00831B34">
              <w:rPr>
                <w:color w:val="auto"/>
                <w:sz w:val="19"/>
                <w:szCs w:val="19"/>
                <w:lang w:val="sk-SK"/>
              </w:rPr>
              <w:t xml:space="preserve"> triky, vykonávať korekciu tváre, očí, úst a nosa,</w:t>
            </w:r>
          </w:p>
          <w:p w14:paraId="0B4B31A4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>aplikovať techniky nanášania make-up-u, korektora, očných líčidiel, líčidiel na ústa, púdra</w:t>
            </w:r>
          </w:p>
          <w:p w14:paraId="5EBC0A76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zabezpečovať starostlivosť a ošetrenie rúk, </w:t>
            </w:r>
          </w:p>
          <w:p w14:paraId="6EEA3F4F" w14:textId="77777777" w:rsidR="00831B34" w:rsidRPr="00831B34" w:rsidRDefault="00831B3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831B34">
              <w:rPr>
                <w:color w:val="auto"/>
                <w:sz w:val="19"/>
                <w:szCs w:val="19"/>
                <w:lang w:val="sk-SK"/>
              </w:rPr>
              <w:t xml:space="preserve">zabezpečovať estetickú úpravu pleti ako súčasť celkovej starostlivosti o harmonickú osobnosť.  </w:t>
            </w:r>
          </w:p>
          <w:p w14:paraId="600AC71A" w14:textId="27B3BCA3" w:rsidR="00560B22" w:rsidRPr="00836679" w:rsidRDefault="00AC6C74" w:rsidP="00831B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AC6C74">
              <w:rPr>
                <w:color w:val="auto"/>
                <w:sz w:val="19"/>
                <w:szCs w:val="19"/>
                <w:lang w:val="sk-SK"/>
              </w:rPr>
              <w:t>tvarovať suché vlasy rôznymi technikami a tvarovacími elektrickými prístrojmi,</w:t>
            </w:r>
            <w:r w:rsidRPr="00831B34">
              <w:rPr>
                <w:color w:val="auto"/>
                <w:sz w:val="19"/>
                <w:szCs w:val="19"/>
                <w:lang w:val="sk-SK"/>
              </w:rPr>
              <w:t xml:space="preserve"> </w:t>
            </w: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7AAFEEBD" w:rsidR="0039531D" w:rsidRPr="00F6646F" w:rsidRDefault="00831B3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831B34">
              <w:rPr>
                <w:sz w:val="19"/>
                <w:szCs w:val="19"/>
                <w:lang w:val="sk-SK"/>
              </w:rPr>
              <w:t>Absolvent sa uplatní v kozmetických salónoch, prevádzkach hotelov, liečebných zariadeniach, predajniach kozmetiky a parfumériách. Uplatní sa v obchodnej sfére kozmetického priemyslu. Po splnení podmienok živnostenského zákona môže vykonávať vlastnú podnikateľskú činnosť.</w:t>
            </w: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959089453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46696C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959089453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79DB6F4E" w:rsidR="00B34025" w:rsidRPr="00F6646F" w:rsidRDefault="006D383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831B3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300F71A6" w14:textId="77777777" w:rsidR="00027CA3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  <w:p w14:paraId="48575F65" w14:textId="735F74C4" w:rsidR="00AC6C74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D401E4D" w14:textId="0AF8ADB2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77777777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Absolvovaný akreditovaný vzdelávací program v rozsahu 450 hod.</w:t>
            </w:r>
          </w:p>
          <w:p w14:paraId="3F512170" w14:textId="0F101B64" w:rsidR="00AC6C74" w:rsidRPr="00F6646F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C00000"/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8FAF5BB" w14:textId="172CA0F0" w:rsidR="00831B34" w:rsidRDefault="00831B3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626D6A7" w14:textId="77777777" w:rsidR="00560B22" w:rsidRDefault="00560B22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70736D15" w14:textId="77777777" w:rsidR="00560B22" w:rsidRDefault="00560B22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1A5B7AF0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7859AC86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560B22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700B77D" w14:textId="787DD71C" w:rsidR="00560B22" w:rsidRPr="00AC6C74" w:rsidRDefault="002B7189" w:rsidP="00560B2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4866F563" wp14:editId="23D8F4A8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26035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B19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74B68D55" wp14:editId="1ED6DAE8">
                  <wp:simplePos x="0" y="0"/>
                  <wp:positionH relativeFrom="column">
                    <wp:posOffset>4389755</wp:posOffset>
                  </wp:positionH>
                  <wp:positionV relativeFrom="paragraph">
                    <wp:posOffset>18415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B22">
              <w:rPr>
                <w:b/>
                <w:bCs/>
                <w:noProof/>
              </w:rPr>
              <w:t xml:space="preserve">Štátny inštitút odborného vzdelávania </w:t>
            </w:r>
          </w:p>
          <w:p w14:paraId="418BE444" w14:textId="24089661" w:rsidR="00560B22" w:rsidRDefault="00560B22" w:rsidP="00560B2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2EC0E4D6" w14:textId="77777777" w:rsidR="00560B22" w:rsidRDefault="00560B22" w:rsidP="00560B2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3917C14E" w14:textId="2702B1A1" w:rsidR="00560B22" w:rsidRDefault="0046696C" w:rsidP="00560B2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560B22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560B22">
              <w:rPr>
                <w:noProof/>
              </w:rPr>
              <w:t xml:space="preserve"> </w:t>
            </w:r>
          </w:p>
          <w:p w14:paraId="5F5FA5D3" w14:textId="4AA5D889" w:rsidR="00560B22" w:rsidRDefault="0046696C" w:rsidP="00560B22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560B22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  <w:p w14:paraId="3CF1E552" w14:textId="284A704D" w:rsidR="00AC6C74" w:rsidRPr="00F6646F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 </w:t>
            </w:r>
          </w:p>
        </w:tc>
      </w:tr>
    </w:tbl>
    <w:p w14:paraId="6ADAACBA" w14:textId="35586FB0" w:rsidR="006534A6" w:rsidRPr="006534A6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844FF" w14:textId="77777777" w:rsidR="0046696C" w:rsidRDefault="0046696C" w:rsidP="009565F2">
      <w:r>
        <w:separator/>
      </w:r>
    </w:p>
  </w:endnote>
  <w:endnote w:type="continuationSeparator" w:id="0">
    <w:p w14:paraId="179CEC93" w14:textId="77777777" w:rsidR="0046696C" w:rsidRDefault="0046696C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0F2DFA6A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2B7189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45FB9718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75A1" w14:textId="77777777" w:rsidR="0046696C" w:rsidRPr="007A4572" w:rsidRDefault="0046696C" w:rsidP="009565F2">
      <w:pPr>
        <w:rPr>
          <w:color w:val="FFFFFF"/>
        </w:rPr>
      </w:pPr>
    </w:p>
  </w:footnote>
  <w:footnote w:type="continuationSeparator" w:id="0">
    <w:p w14:paraId="7AA25551" w14:textId="77777777" w:rsidR="0046696C" w:rsidRDefault="0046696C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9605HiNqrgXAYLVvfuv6AFCyJlXAEnLjWMWzAGNMKpEJVdv6F1CS+UqzDCS1BZVsOxjQlzFm5fdIGulibC9jA==" w:salt="r0ASzNd+fTsQ/LDu99avnQ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B7189"/>
    <w:rsid w:val="002C1A75"/>
    <w:rsid w:val="002D03D1"/>
    <w:rsid w:val="002E3E7A"/>
    <w:rsid w:val="002F115B"/>
    <w:rsid w:val="002F3E8F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6696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60B2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41C3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D3837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6DD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B34"/>
    <w:rsid w:val="00836679"/>
    <w:rsid w:val="00836811"/>
    <w:rsid w:val="00854C55"/>
    <w:rsid w:val="00857FAC"/>
    <w:rsid w:val="00861479"/>
    <w:rsid w:val="00861EEB"/>
    <w:rsid w:val="00865D33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5B19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3309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915C-1695-4D0F-B4D4-15D88E8A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557</Words>
  <Characters>3175</Characters>
  <Application>Microsoft Office Word</Application>
  <DocSecurity>8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11</cp:revision>
  <cp:lastPrinted>2019-07-09T14:26:00Z</cp:lastPrinted>
  <dcterms:created xsi:type="dcterms:W3CDTF">2020-05-20T20:03:00Z</dcterms:created>
  <dcterms:modified xsi:type="dcterms:W3CDTF">2020-09-16T06:22:00Z</dcterms:modified>
</cp:coreProperties>
</file>